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670" w:rsidR="004F63AE" w:rsidP="004F63AE" w:rsidRDefault="007A4335" w14:paraId="03CE29B8" w14:textId="604611F1">
      <w:pPr>
        <w:tabs>
          <w:tab w:val="left" w:pos="1560"/>
        </w:tabs>
        <w:spacing w:after="0"/>
        <w:rPr>
          <w:rFonts w:asciiTheme="minorHAnsi" w:hAnsiTheme="minorHAnsi"/>
          <w:sz w:val="22"/>
        </w:rPr>
      </w:pPr>
      <w:r>
        <w:br/>
      </w:r>
      <w:r w:rsidR="00D02317">
        <w:rPr>
          <w:rFonts w:asciiTheme="minorHAnsi" w:hAnsiTheme="minorHAnsi"/>
          <w:b/>
          <w:caps/>
          <w:sz w:val="22"/>
        </w:rPr>
        <w:t>Voorstel AAN:</w:t>
      </w:r>
      <w:r w:rsidRPr="00A37670" w:rsidR="004F63AE">
        <w:rPr>
          <w:rFonts w:asciiTheme="minorHAnsi" w:hAnsiTheme="minorHAnsi"/>
          <w:b/>
          <w:caps/>
          <w:sz w:val="22"/>
        </w:rPr>
        <w:tab/>
      </w:r>
      <w:r w:rsidRPr="00A37670" w:rsidR="004F63AE">
        <w:rPr>
          <w:rFonts w:asciiTheme="minorHAnsi" w:hAnsiTheme="minorHAnsi"/>
          <w:b/>
          <w:caps/>
          <w:sz w:val="22"/>
        </w:rPr>
        <w:tab/>
      </w:r>
      <w:r w:rsidR="00C47ECB">
        <w:rPr>
          <w:rFonts w:asciiTheme="minorHAnsi" w:hAnsiTheme="minorHAnsi"/>
          <w:b/>
          <w:caps/>
          <w:sz w:val="22"/>
        </w:rPr>
        <w:t>Algemeen</w:t>
      </w:r>
      <w:r w:rsidRPr="00A37670" w:rsidR="004F63AE">
        <w:rPr>
          <w:rFonts w:asciiTheme="minorHAnsi" w:hAnsiTheme="minorHAnsi"/>
          <w:b/>
          <w:noProof/>
          <w:sz w:val="22"/>
        </w:rPr>
        <w:t xml:space="preserve"> BESTUUR</w:t>
      </w:r>
      <w:r w:rsidRPr="00A37670" w:rsidR="004F63AE">
        <w:rPr>
          <w:rFonts w:asciiTheme="minorHAnsi" w:hAnsiTheme="minorHAnsi"/>
          <w:sz w:val="22"/>
        </w:rPr>
        <w:br/>
      </w:r>
    </w:p>
    <w:tbl>
      <w:tblPr>
        <w:tblStyle w:val="Tabelraster"/>
        <w:tblW w:w="9516" w:type="dxa"/>
        <w:tblBorders>
          <w:top w:val="nil"/>
          <w:left w:val="nil"/>
          <w:bottom w:val="nil"/>
          <w:right w:val="nil"/>
          <w:insideH w:val="nil"/>
          <w:insideV w:val="nil"/>
        </w:tblBorders>
        <w:tblLook w:val="04A0" w:firstRow="1" w:lastRow="0" w:firstColumn="1" w:lastColumn="0" w:noHBand="0" w:noVBand="1"/>
      </w:tblPr>
      <w:tblGrid>
        <w:gridCol w:w="2378"/>
        <w:gridCol w:w="2907"/>
        <w:gridCol w:w="2053"/>
        <w:gridCol w:w="2178"/>
      </w:tblGrid>
      <w:tr w:rsidRPr="00A37670" w:rsidR="004F63AE" w:rsidTr="7ACE4484" w14:paraId="03CE29BB" w14:textId="6EF303D4">
        <w:trPr>
          <w:trHeight w:val="309" w:hRule="exact"/>
        </w:trPr>
        <w:tc>
          <w:tcPr>
            <w:tcW w:w="2378" w:type="dxa"/>
          </w:tcPr>
          <w:p w:rsidRPr="00936C76" w:rsidR="004F63AE" w:rsidP="002D65EA" w:rsidRDefault="004F63AE" w14:paraId="03CE29B9" w14:textId="77777777">
            <w:pPr>
              <w:tabs>
                <w:tab w:val="left" w:pos="1560"/>
              </w:tabs>
              <w:spacing w:after="0" w:line="240" w:lineRule="auto"/>
              <w:rPr>
                <w:rFonts w:asciiTheme="minorHAnsi" w:hAnsiTheme="minorHAnsi"/>
                <w:sz w:val="22"/>
              </w:rPr>
            </w:pPr>
            <w:r w:rsidRPr="00936C76">
              <w:rPr>
                <w:rFonts w:asciiTheme="minorHAnsi" w:hAnsiTheme="minorHAnsi"/>
                <w:sz w:val="22"/>
              </w:rPr>
              <w:t>Vergaderdatum:</w:t>
            </w:r>
          </w:p>
        </w:tc>
        <w:tc>
          <w:tcPr>
            <w:tcW w:w="7138" w:type="dxa"/>
            <w:gridSpan w:val="3"/>
          </w:tcPr>
          <w:p w:rsidRPr="00936C76" w:rsidR="004F63AE" w:rsidP="002D65EA" w:rsidRDefault="00C47ECB" w14:paraId="72DB4FBF" w14:textId="6B8B76D1">
            <w:pPr>
              <w:tabs>
                <w:tab w:val="left" w:pos="1560"/>
              </w:tabs>
              <w:spacing w:after="0" w:line="240" w:lineRule="auto"/>
              <w:rPr>
                <w:rFonts w:asciiTheme="minorHAnsi" w:hAnsiTheme="minorHAnsi"/>
                <w:sz w:val="22"/>
              </w:rPr>
            </w:pPr>
            <w:r>
              <w:rPr>
                <w:rFonts w:asciiTheme="minorHAnsi" w:hAnsiTheme="minorHAnsi"/>
                <w:sz w:val="22"/>
              </w:rPr>
              <w:t>15 april</w:t>
            </w:r>
            <w:r w:rsidRPr="00936C76" w:rsidR="00F32750">
              <w:rPr>
                <w:rFonts w:asciiTheme="minorHAnsi" w:hAnsiTheme="minorHAnsi"/>
                <w:sz w:val="22"/>
              </w:rPr>
              <w:t xml:space="preserve"> </w:t>
            </w:r>
            <w:r w:rsidRPr="00936C76" w:rsidR="00ED0A04">
              <w:rPr>
                <w:rFonts w:asciiTheme="minorHAnsi" w:hAnsiTheme="minorHAnsi"/>
                <w:sz w:val="22"/>
              </w:rPr>
              <w:t>202</w:t>
            </w:r>
            <w:r w:rsidR="00244F1C">
              <w:rPr>
                <w:rFonts w:asciiTheme="minorHAnsi" w:hAnsiTheme="minorHAnsi"/>
                <w:sz w:val="22"/>
              </w:rPr>
              <w:t>6</w:t>
            </w:r>
          </w:p>
          <w:p w:rsidRPr="00936C76" w:rsidR="005C22E4" w:rsidP="002D65EA" w:rsidRDefault="005C22E4" w14:paraId="2DC80EF8" w14:textId="77777777">
            <w:pPr>
              <w:tabs>
                <w:tab w:val="left" w:pos="1560"/>
              </w:tabs>
              <w:spacing w:after="0" w:line="240" w:lineRule="auto"/>
              <w:rPr>
                <w:rFonts w:asciiTheme="minorHAnsi" w:hAnsiTheme="minorHAnsi"/>
                <w:sz w:val="22"/>
              </w:rPr>
            </w:pPr>
          </w:p>
          <w:p w:rsidRPr="00936C76" w:rsidR="005C22E4" w:rsidP="002D65EA" w:rsidRDefault="005C22E4" w14:paraId="03CE29BA" w14:textId="628F47F3">
            <w:pPr>
              <w:tabs>
                <w:tab w:val="left" w:pos="1560"/>
              </w:tabs>
              <w:spacing w:after="0" w:line="240" w:lineRule="auto"/>
              <w:rPr>
                <w:rFonts w:asciiTheme="minorHAnsi" w:hAnsiTheme="minorHAnsi"/>
                <w:sz w:val="22"/>
              </w:rPr>
            </w:pPr>
          </w:p>
        </w:tc>
      </w:tr>
      <w:tr w:rsidRPr="00A37670" w:rsidR="004F63AE" w:rsidTr="7ACE4484" w14:paraId="03CE29C1" w14:textId="77777777">
        <w:trPr>
          <w:trHeight w:val="743" w:hRule="exact"/>
        </w:trPr>
        <w:tc>
          <w:tcPr>
            <w:tcW w:w="2378" w:type="dxa"/>
          </w:tcPr>
          <w:p w:rsidRPr="00936C76" w:rsidR="004F63AE" w:rsidP="002D65EA" w:rsidRDefault="00D02317" w14:paraId="03CE29BC" w14:textId="77777777">
            <w:pPr>
              <w:tabs>
                <w:tab w:val="left" w:pos="1560"/>
              </w:tabs>
              <w:spacing w:after="0" w:line="240" w:lineRule="auto"/>
              <w:rPr>
                <w:rFonts w:asciiTheme="minorHAnsi" w:hAnsiTheme="minorHAnsi"/>
                <w:sz w:val="22"/>
              </w:rPr>
            </w:pPr>
            <w:r w:rsidRPr="00936C76">
              <w:rPr>
                <w:rFonts w:asciiTheme="minorHAnsi" w:hAnsiTheme="minorHAnsi"/>
                <w:sz w:val="22"/>
              </w:rPr>
              <w:t>Agendapunt</w:t>
            </w:r>
            <w:r w:rsidRPr="00936C76" w:rsidR="004F63AE">
              <w:rPr>
                <w:rFonts w:asciiTheme="minorHAnsi" w:hAnsiTheme="minorHAnsi"/>
                <w:sz w:val="22"/>
              </w:rPr>
              <w:t>:</w:t>
            </w:r>
          </w:p>
        </w:tc>
        <w:tc>
          <w:tcPr>
            <w:tcW w:w="2907" w:type="dxa"/>
            <w:tcBorders>
              <w:right w:val="single" w:color="auto" w:sz="4" w:space="0"/>
            </w:tcBorders>
          </w:tcPr>
          <w:p w:rsidRPr="00936C76" w:rsidR="004F63AE" w:rsidP="00E627E5" w:rsidRDefault="004F63AE" w14:paraId="03CE29BD" w14:textId="77777777">
            <w:pPr>
              <w:tabs>
                <w:tab w:val="left" w:pos="1560"/>
              </w:tabs>
              <w:spacing w:after="0" w:line="240" w:lineRule="auto"/>
              <w:rPr>
                <w:rFonts w:asciiTheme="minorHAnsi" w:hAnsiTheme="minorHAnsi"/>
                <w:sz w:val="22"/>
              </w:rPr>
            </w:pPr>
          </w:p>
        </w:tc>
        <w:tc>
          <w:tcPr>
            <w:tcW w:w="2053" w:type="dxa"/>
            <w:tcBorders>
              <w:top w:val="single" w:color="auto" w:sz="4" w:space="0"/>
              <w:left w:val="single" w:color="auto" w:sz="4" w:space="0"/>
              <w:bottom w:val="single" w:color="auto" w:sz="4" w:space="0"/>
              <w:right w:val="single" w:color="auto" w:sz="4" w:space="0"/>
            </w:tcBorders>
          </w:tcPr>
          <w:p w:rsidRPr="00BD5F73" w:rsidR="004F63AE" w:rsidP="002D65EA" w:rsidRDefault="004F63AE" w14:paraId="03CE29BE" w14:textId="77777777">
            <w:pPr>
              <w:tabs>
                <w:tab w:val="left" w:pos="1560"/>
              </w:tabs>
              <w:spacing w:after="0" w:line="240" w:lineRule="auto"/>
              <w:rPr>
                <w:rFonts w:asciiTheme="minorHAnsi" w:hAnsiTheme="minorHAnsi"/>
                <w:b/>
                <w:i/>
                <w:sz w:val="20"/>
                <w:szCs w:val="20"/>
              </w:rPr>
            </w:pPr>
            <w:r w:rsidRPr="00BD5F73">
              <w:rPr>
                <w:rFonts w:asciiTheme="minorHAnsi" w:hAnsiTheme="minorHAnsi"/>
                <w:b/>
                <w:sz w:val="20"/>
                <w:szCs w:val="20"/>
              </w:rPr>
              <w:br/>
            </w:r>
            <w:r w:rsidRPr="00BD5F73">
              <w:rPr>
                <w:rFonts w:asciiTheme="minorHAnsi" w:hAnsiTheme="minorHAnsi"/>
                <w:b/>
                <w:i/>
                <w:sz w:val="20"/>
                <w:szCs w:val="20"/>
              </w:rPr>
              <w:t>Route besluitvorming</w:t>
            </w:r>
            <w:r w:rsidRPr="00BD5F73">
              <w:rPr>
                <w:rFonts w:asciiTheme="minorHAnsi" w:hAnsiTheme="minorHAnsi"/>
                <w:b/>
                <w:sz w:val="20"/>
                <w:szCs w:val="20"/>
              </w:rPr>
              <w:br/>
            </w:r>
          </w:p>
          <w:p w:rsidRPr="00BD5F73" w:rsidR="004F63AE" w:rsidP="002D65EA" w:rsidRDefault="004F63AE" w14:paraId="03CE29BF" w14:textId="77777777">
            <w:pPr>
              <w:tabs>
                <w:tab w:val="left" w:pos="1560"/>
              </w:tabs>
              <w:spacing w:after="0" w:line="240" w:lineRule="auto"/>
              <w:rPr>
                <w:rFonts w:asciiTheme="minorHAnsi" w:hAnsiTheme="minorHAnsi"/>
                <w:b/>
                <w:sz w:val="20"/>
                <w:szCs w:val="20"/>
              </w:rPr>
            </w:pPr>
          </w:p>
        </w:tc>
        <w:tc>
          <w:tcPr>
            <w:tcW w:w="2178" w:type="dxa"/>
            <w:tcBorders>
              <w:top w:val="single" w:color="auto" w:sz="4" w:space="0"/>
              <w:left w:val="single" w:color="auto" w:sz="4" w:space="0"/>
              <w:bottom w:val="single" w:color="auto" w:sz="4" w:space="0"/>
              <w:right w:val="single" w:color="auto" w:sz="4" w:space="0"/>
            </w:tcBorders>
          </w:tcPr>
          <w:p w:rsidRPr="00BD5F73" w:rsidR="004F63AE" w:rsidP="002D65EA" w:rsidRDefault="004F63AE" w14:paraId="03CE29C0" w14:textId="77777777">
            <w:pPr>
              <w:tabs>
                <w:tab w:val="left" w:pos="1560"/>
              </w:tabs>
              <w:spacing w:after="0" w:line="240" w:lineRule="auto"/>
              <w:rPr>
                <w:rFonts w:asciiTheme="minorHAnsi" w:hAnsiTheme="minorHAnsi"/>
                <w:b/>
                <w:i/>
                <w:sz w:val="20"/>
                <w:szCs w:val="20"/>
              </w:rPr>
            </w:pPr>
            <w:r w:rsidRPr="00BD5F73">
              <w:rPr>
                <w:rFonts w:asciiTheme="minorHAnsi" w:hAnsiTheme="minorHAnsi"/>
                <w:sz w:val="20"/>
                <w:szCs w:val="20"/>
              </w:rPr>
              <w:t xml:space="preserve"> </w:t>
            </w:r>
            <w:r w:rsidRPr="00BD5F73">
              <w:rPr>
                <w:rFonts w:asciiTheme="minorHAnsi" w:hAnsiTheme="minorHAnsi"/>
                <w:sz w:val="20"/>
                <w:szCs w:val="20"/>
              </w:rPr>
              <w:br/>
            </w:r>
            <w:r w:rsidRPr="00BD5F73">
              <w:rPr>
                <w:rFonts w:asciiTheme="minorHAnsi" w:hAnsiTheme="minorHAnsi"/>
                <w:b/>
                <w:i/>
                <w:sz w:val="20"/>
                <w:szCs w:val="20"/>
              </w:rPr>
              <w:t>Vergaderdatum d.d.</w:t>
            </w:r>
          </w:p>
        </w:tc>
      </w:tr>
      <w:tr w:rsidRPr="00A37670" w:rsidR="001B123B" w:rsidTr="7ACE4484" w14:paraId="03CE29C6" w14:textId="77777777">
        <w:trPr>
          <w:trHeight w:val="309" w:hRule="exact"/>
        </w:trPr>
        <w:tc>
          <w:tcPr>
            <w:tcW w:w="2378" w:type="dxa"/>
          </w:tcPr>
          <w:p w:rsidRPr="00936C76" w:rsidR="001B123B" w:rsidP="002D65EA" w:rsidRDefault="001B123B" w14:paraId="03CE29C2" w14:textId="77777777">
            <w:pPr>
              <w:tabs>
                <w:tab w:val="left" w:pos="1560"/>
              </w:tabs>
              <w:spacing w:after="0" w:line="240" w:lineRule="auto"/>
              <w:rPr>
                <w:rFonts w:asciiTheme="minorHAnsi" w:hAnsiTheme="minorHAnsi"/>
                <w:sz w:val="22"/>
              </w:rPr>
            </w:pPr>
            <w:r w:rsidRPr="00936C76">
              <w:rPr>
                <w:rFonts w:asciiTheme="minorHAnsi" w:hAnsiTheme="minorHAnsi"/>
                <w:sz w:val="22"/>
              </w:rPr>
              <w:t>Kenmerk:</w:t>
            </w:r>
          </w:p>
        </w:tc>
        <w:tc>
          <w:tcPr>
            <w:tcW w:w="2907" w:type="dxa"/>
            <w:tcBorders>
              <w:right w:val="single" w:color="auto" w:sz="4" w:space="0"/>
            </w:tcBorders>
          </w:tcPr>
          <w:p w:rsidRPr="00936C76" w:rsidR="001B123B" w:rsidP="002D65EA" w:rsidRDefault="001B123B" w14:paraId="03CE29C3" w14:textId="77777777">
            <w:pPr>
              <w:tabs>
                <w:tab w:val="left" w:pos="1560"/>
              </w:tabs>
              <w:spacing w:after="0" w:line="240" w:lineRule="auto"/>
              <w:rPr>
                <w:rFonts w:asciiTheme="minorHAnsi" w:hAnsiTheme="minorHAnsi"/>
                <w:sz w:val="22"/>
              </w:rPr>
            </w:pPr>
          </w:p>
        </w:tc>
        <w:tc>
          <w:tcPr>
            <w:tcW w:w="2053" w:type="dxa"/>
            <w:tcBorders>
              <w:top w:val="single" w:color="auto" w:sz="4" w:space="0"/>
              <w:left w:val="single" w:color="auto" w:sz="4" w:space="0"/>
              <w:bottom w:val="single" w:color="auto" w:sz="4" w:space="0"/>
              <w:right w:val="single" w:color="auto" w:sz="4" w:space="0"/>
            </w:tcBorders>
          </w:tcPr>
          <w:p w:rsidRPr="00936C76" w:rsidR="001B123B" w:rsidP="002D65EA" w:rsidRDefault="001B123B" w14:paraId="03CE29C4" w14:textId="564EF2EB">
            <w:pPr>
              <w:tabs>
                <w:tab w:val="left" w:pos="1560"/>
              </w:tabs>
              <w:spacing w:after="0" w:line="240" w:lineRule="auto"/>
              <w:rPr>
                <w:rFonts w:asciiTheme="minorHAnsi" w:hAnsiTheme="minorHAnsi"/>
                <w:sz w:val="22"/>
              </w:rPr>
            </w:pPr>
          </w:p>
        </w:tc>
        <w:tc>
          <w:tcPr>
            <w:tcW w:w="2178" w:type="dxa"/>
            <w:tcBorders>
              <w:top w:val="single" w:color="auto" w:sz="4" w:space="0"/>
              <w:left w:val="single" w:color="auto" w:sz="4" w:space="0"/>
              <w:bottom w:val="single" w:color="auto" w:sz="4" w:space="0"/>
              <w:right w:val="single" w:color="auto" w:sz="4" w:space="0"/>
            </w:tcBorders>
          </w:tcPr>
          <w:p w:rsidRPr="00936C76" w:rsidR="001B123B" w:rsidP="00B742CA" w:rsidRDefault="001B123B" w14:paraId="03CE29C5" w14:textId="2D489221">
            <w:pPr>
              <w:tabs>
                <w:tab w:val="left" w:pos="1560"/>
              </w:tabs>
              <w:spacing w:after="0" w:line="240" w:lineRule="auto"/>
              <w:rPr>
                <w:rFonts w:asciiTheme="minorHAnsi" w:hAnsiTheme="minorHAnsi"/>
                <w:sz w:val="22"/>
              </w:rPr>
            </w:pPr>
          </w:p>
        </w:tc>
      </w:tr>
      <w:tr w:rsidRPr="00A37670" w:rsidR="001B123B" w:rsidTr="7ACE4484" w14:paraId="03CE29CB" w14:textId="77777777">
        <w:trPr>
          <w:trHeight w:val="309" w:hRule="exact"/>
        </w:trPr>
        <w:tc>
          <w:tcPr>
            <w:tcW w:w="2378" w:type="dxa"/>
          </w:tcPr>
          <w:p w:rsidRPr="00936C76" w:rsidR="001B123B" w:rsidP="002D65EA" w:rsidRDefault="001B123B" w14:paraId="03CE29C7" w14:textId="77777777">
            <w:pPr>
              <w:tabs>
                <w:tab w:val="left" w:pos="1560"/>
              </w:tabs>
              <w:spacing w:after="0" w:line="240" w:lineRule="auto"/>
              <w:rPr>
                <w:rFonts w:asciiTheme="minorHAnsi" w:hAnsiTheme="minorHAnsi"/>
                <w:sz w:val="22"/>
              </w:rPr>
            </w:pPr>
            <w:r w:rsidRPr="00936C76">
              <w:rPr>
                <w:rFonts w:asciiTheme="minorHAnsi" w:hAnsiTheme="minorHAnsi"/>
                <w:sz w:val="22"/>
              </w:rPr>
              <w:t>Status:</w:t>
            </w:r>
          </w:p>
        </w:tc>
        <w:tc>
          <w:tcPr>
            <w:tcW w:w="2907" w:type="dxa"/>
            <w:tcBorders>
              <w:right w:val="single" w:color="auto" w:sz="4" w:space="0"/>
            </w:tcBorders>
          </w:tcPr>
          <w:p w:rsidRPr="00936C76" w:rsidR="001B123B" w:rsidP="002D65EA" w:rsidRDefault="001B123B" w14:paraId="03CE29C8" w14:textId="77777777">
            <w:pPr>
              <w:tabs>
                <w:tab w:val="left" w:pos="1560"/>
              </w:tabs>
              <w:spacing w:after="0" w:line="240" w:lineRule="auto"/>
              <w:rPr>
                <w:rFonts w:asciiTheme="minorHAnsi" w:hAnsiTheme="minorHAnsi"/>
                <w:sz w:val="22"/>
              </w:rPr>
            </w:pPr>
            <w:r w:rsidRPr="00936C76">
              <w:rPr>
                <w:rFonts w:asciiTheme="minorHAnsi" w:hAnsiTheme="minorHAnsi"/>
                <w:noProof/>
                <w:sz w:val="22"/>
              </w:rPr>
              <w:t>ter besluitvorming</w:t>
            </w:r>
          </w:p>
        </w:tc>
        <w:tc>
          <w:tcPr>
            <w:tcW w:w="2053" w:type="dxa"/>
            <w:tcBorders>
              <w:top w:val="single" w:color="auto" w:sz="4" w:space="0"/>
              <w:left w:val="single" w:color="auto" w:sz="4" w:space="0"/>
              <w:bottom w:val="single" w:color="auto" w:sz="4" w:space="0"/>
              <w:right w:val="single" w:color="auto" w:sz="4" w:space="0"/>
            </w:tcBorders>
          </w:tcPr>
          <w:p w:rsidRPr="00936C76" w:rsidR="001B123B" w:rsidP="002D65EA" w:rsidRDefault="00AE68DC" w14:paraId="03CE29C9" w14:textId="77777777">
            <w:pPr>
              <w:tabs>
                <w:tab w:val="left" w:pos="1560"/>
              </w:tabs>
              <w:spacing w:after="0" w:line="240" w:lineRule="auto"/>
              <w:rPr>
                <w:rFonts w:asciiTheme="minorHAnsi" w:hAnsiTheme="minorHAnsi"/>
                <w:sz w:val="22"/>
              </w:rPr>
            </w:pPr>
            <w:r w:rsidRPr="00936C76">
              <w:rPr>
                <w:rFonts w:asciiTheme="minorHAnsi" w:hAnsiTheme="minorHAnsi"/>
                <w:noProof/>
                <w:sz w:val="22"/>
              </w:rPr>
              <w:t>Dagelijks</w:t>
            </w:r>
            <w:r w:rsidRPr="00936C76" w:rsidR="001B123B">
              <w:rPr>
                <w:rFonts w:asciiTheme="minorHAnsi" w:hAnsiTheme="minorHAnsi"/>
                <w:noProof/>
                <w:sz w:val="22"/>
              </w:rPr>
              <w:t xml:space="preserve"> Bestuur</w:t>
            </w:r>
          </w:p>
        </w:tc>
        <w:tc>
          <w:tcPr>
            <w:tcW w:w="2178" w:type="dxa"/>
            <w:tcBorders>
              <w:top w:val="single" w:color="auto" w:sz="4" w:space="0"/>
              <w:left w:val="single" w:color="auto" w:sz="4" w:space="0"/>
              <w:bottom w:val="single" w:color="auto" w:sz="4" w:space="0"/>
              <w:right w:val="single" w:color="auto" w:sz="4" w:space="0"/>
            </w:tcBorders>
          </w:tcPr>
          <w:p w:rsidRPr="00936C76" w:rsidR="001B123B" w:rsidP="7ACE4484" w:rsidRDefault="003F6833" w14:paraId="03CE29CA" w14:textId="164F71D6">
            <w:pPr>
              <w:tabs>
                <w:tab w:val="left" w:pos="1560"/>
              </w:tabs>
              <w:spacing w:after="0" w:line="240" w:lineRule="auto"/>
              <w:rPr>
                <w:rFonts w:asciiTheme="minorHAnsi" w:hAnsiTheme="minorHAnsi"/>
                <w:sz w:val="22"/>
              </w:rPr>
            </w:pPr>
            <w:r w:rsidRPr="7ACE4484">
              <w:rPr>
                <w:rFonts w:asciiTheme="minorHAnsi" w:hAnsiTheme="minorHAnsi"/>
                <w:sz w:val="22"/>
              </w:rPr>
              <w:t>2</w:t>
            </w:r>
            <w:r w:rsidRPr="7ACE4484" w:rsidR="5E9B14F2">
              <w:rPr>
                <w:rFonts w:asciiTheme="minorHAnsi" w:hAnsiTheme="minorHAnsi"/>
                <w:sz w:val="22"/>
              </w:rPr>
              <w:t>5</w:t>
            </w:r>
            <w:r w:rsidRPr="7ACE4484" w:rsidR="00CF3EE2">
              <w:rPr>
                <w:rFonts w:asciiTheme="minorHAnsi" w:hAnsiTheme="minorHAnsi"/>
                <w:sz w:val="22"/>
              </w:rPr>
              <w:t xml:space="preserve"> maart 202</w:t>
            </w:r>
            <w:r w:rsidR="00244F1C">
              <w:rPr>
                <w:rFonts w:asciiTheme="minorHAnsi" w:hAnsiTheme="minorHAnsi"/>
                <w:sz w:val="22"/>
              </w:rPr>
              <w:t>6</w:t>
            </w:r>
          </w:p>
        </w:tc>
      </w:tr>
      <w:tr w:rsidRPr="00A37670" w:rsidR="001B123B" w:rsidTr="7ACE4484" w14:paraId="03CE29D0" w14:textId="77777777">
        <w:trPr>
          <w:trHeight w:val="309" w:hRule="exact"/>
        </w:trPr>
        <w:tc>
          <w:tcPr>
            <w:tcW w:w="2378" w:type="dxa"/>
          </w:tcPr>
          <w:p w:rsidRPr="00936C76" w:rsidR="001B123B" w:rsidP="002D65EA" w:rsidRDefault="001B123B" w14:paraId="03CE29CC" w14:textId="77777777">
            <w:pPr>
              <w:tabs>
                <w:tab w:val="left" w:pos="1560"/>
              </w:tabs>
              <w:spacing w:after="0" w:line="240" w:lineRule="auto"/>
              <w:rPr>
                <w:rFonts w:asciiTheme="minorHAnsi" w:hAnsiTheme="minorHAnsi"/>
                <w:sz w:val="22"/>
              </w:rPr>
            </w:pPr>
            <w:r w:rsidRPr="00936C76">
              <w:rPr>
                <w:rFonts w:asciiTheme="minorHAnsi" w:hAnsiTheme="minorHAnsi"/>
                <w:sz w:val="22"/>
              </w:rPr>
              <w:t>Opsteller:</w:t>
            </w:r>
          </w:p>
        </w:tc>
        <w:tc>
          <w:tcPr>
            <w:tcW w:w="2907" w:type="dxa"/>
            <w:tcBorders>
              <w:right w:val="single" w:color="auto" w:sz="4" w:space="0"/>
            </w:tcBorders>
          </w:tcPr>
          <w:p w:rsidRPr="00936C76" w:rsidR="001B123B" w:rsidP="002D65EA" w:rsidRDefault="00244F1C" w14:paraId="03CE29CD" w14:textId="61FB960B">
            <w:pPr>
              <w:tabs>
                <w:tab w:val="left" w:pos="1560"/>
              </w:tabs>
              <w:spacing w:after="0" w:line="240" w:lineRule="auto"/>
              <w:rPr>
                <w:rFonts w:asciiTheme="minorHAnsi" w:hAnsiTheme="minorHAnsi"/>
                <w:sz w:val="22"/>
              </w:rPr>
            </w:pPr>
            <w:r>
              <w:rPr>
                <w:rFonts w:asciiTheme="minorHAnsi" w:hAnsiTheme="minorHAnsi"/>
                <w:sz w:val="22"/>
              </w:rPr>
              <w:t>Sybrand Dijk</w:t>
            </w:r>
          </w:p>
        </w:tc>
        <w:tc>
          <w:tcPr>
            <w:tcW w:w="2053" w:type="dxa"/>
            <w:tcBorders>
              <w:top w:val="single" w:color="auto" w:sz="4" w:space="0"/>
              <w:left w:val="single" w:color="auto" w:sz="4" w:space="0"/>
              <w:bottom w:val="single" w:color="auto" w:sz="4" w:space="0"/>
              <w:right w:val="single" w:color="auto" w:sz="4" w:space="0"/>
            </w:tcBorders>
          </w:tcPr>
          <w:p w:rsidRPr="00936C76" w:rsidR="001B123B" w:rsidP="002D65EA" w:rsidRDefault="00AE68DC" w14:paraId="03CE29CE" w14:textId="77777777">
            <w:pPr>
              <w:tabs>
                <w:tab w:val="left" w:pos="1560"/>
              </w:tabs>
              <w:spacing w:after="0" w:line="240" w:lineRule="auto"/>
              <w:rPr>
                <w:rFonts w:asciiTheme="minorHAnsi" w:hAnsiTheme="minorHAnsi"/>
                <w:sz w:val="22"/>
              </w:rPr>
            </w:pPr>
            <w:r w:rsidRPr="00936C76">
              <w:rPr>
                <w:rFonts w:asciiTheme="minorHAnsi" w:hAnsiTheme="minorHAnsi"/>
                <w:sz w:val="22"/>
              </w:rPr>
              <w:t>Algemeen Bestuur</w:t>
            </w:r>
          </w:p>
        </w:tc>
        <w:tc>
          <w:tcPr>
            <w:tcW w:w="2178" w:type="dxa"/>
            <w:tcBorders>
              <w:top w:val="single" w:color="auto" w:sz="4" w:space="0"/>
              <w:left w:val="single" w:color="auto" w:sz="4" w:space="0"/>
              <w:bottom w:val="single" w:color="auto" w:sz="4" w:space="0"/>
              <w:right w:val="single" w:color="auto" w:sz="4" w:space="0"/>
            </w:tcBorders>
          </w:tcPr>
          <w:p w:rsidRPr="00936C76" w:rsidR="001B123B" w:rsidP="002D65EA" w:rsidRDefault="00244F1C" w14:paraId="03CE29CF" w14:textId="0D992389">
            <w:pPr>
              <w:tabs>
                <w:tab w:val="left" w:pos="1560"/>
              </w:tabs>
              <w:spacing w:after="0" w:line="240" w:lineRule="auto"/>
              <w:rPr>
                <w:rFonts w:asciiTheme="minorHAnsi" w:hAnsiTheme="minorHAnsi"/>
                <w:sz w:val="22"/>
              </w:rPr>
            </w:pPr>
            <w:r>
              <w:rPr>
                <w:rFonts w:asciiTheme="minorHAnsi" w:hAnsiTheme="minorHAnsi"/>
                <w:sz w:val="22"/>
              </w:rPr>
              <w:t>15</w:t>
            </w:r>
            <w:r w:rsidR="00CF3EE2">
              <w:rPr>
                <w:rFonts w:asciiTheme="minorHAnsi" w:hAnsiTheme="minorHAnsi"/>
                <w:sz w:val="22"/>
              </w:rPr>
              <w:t xml:space="preserve"> april 202</w:t>
            </w:r>
            <w:r w:rsidR="00DC1E55">
              <w:rPr>
                <w:rFonts w:asciiTheme="minorHAnsi" w:hAnsiTheme="minorHAnsi"/>
                <w:sz w:val="22"/>
              </w:rPr>
              <w:t>6</w:t>
            </w:r>
          </w:p>
        </w:tc>
      </w:tr>
      <w:tr w:rsidRPr="00A37670" w:rsidR="001B123B" w:rsidTr="7ACE4484" w14:paraId="03CE29D3" w14:textId="77777777">
        <w:trPr>
          <w:trHeight w:val="309" w:hRule="exact"/>
        </w:trPr>
        <w:tc>
          <w:tcPr>
            <w:tcW w:w="2378" w:type="dxa"/>
          </w:tcPr>
          <w:p w:rsidRPr="00936C76" w:rsidR="001B123B" w:rsidP="002D65EA" w:rsidRDefault="000C5284" w14:paraId="03CE29D1" w14:textId="77777777">
            <w:pPr>
              <w:tabs>
                <w:tab w:val="left" w:pos="1560"/>
              </w:tabs>
              <w:spacing w:after="0" w:line="240" w:lineRule="auto"/>
              <w:rPr>
                <w:rFonts w:asciiTheme="minorHAnsi" w:hAnsiTheme="minorHAnsi"/>
                <w:sz w:val="22"/>
              </w:rPr>
            </w:pPr>
            <w:r w:rsidRPr="00936C76">
              <w:rPr>
                <w:rFonts w:asciiTheme="minorHAnsi" w:hAnsiTheme="minorHAnsi"/>
                <w:sz w:val="22"/>
              </w:rPr>
              <w:t>Namens</w:t>
            </w:r>
            <w:r w:rsidRPr="00936C76" w:rsidR="001B123B">
              <w:rPr>
                <w:rFonts w:asciiTheme="minorHAnsi" w:hAnsiTheme="minorHAnsi"/>
                <w:sz w:val="22"/>
              </w:rPr>
              <w:t>:</w:t>
            </w:r>
          </w:p>
        </w:tc>
        <w:tc>
          <w:tcPr>
            <w:tcW w:w="7138" w:type="dxa"/>
            <w:gridSpan w:val="3"/>
          </w:tcPr>
          <w:p w:rsidRPr="00936C76" w:rsidR="001B123B" w:rsidP="002D65EA" w:rsidRDefault="00CF3EE2" w14:paraId="03CE29D2" w14:textId="2DE29089">
            <w:pPr>
              <w:tabs>
                <w:tab w:val="left" w:pos="1560"/>
              </w:tabs>
              <w:spacing w:after="0" w:line="240" w:lineRule="auto"/>
              <w:rPr>
                <w:rFonts w:asciiTheme="minorHAnsi" w:hAnsiTheme="minorHAnsi"/>
                <w:sz w:val="22"/>
              </w:rPr>
            </w:pPr>
            <w:r>
              <w:rPr>
                <w:rFonts w:asciiTheme="minorHAnsi" w:hAnsiTheme="minorHAnsi"/>
                <w:sz w:val="22"/>
              </w:rPr>
              <w:t>Nelleke Vedelaar</w:t>
            </w:r>
          </w:p>
        </w:tc>
      </w:tr>
      <w:tr w:rsidRPr="00A37670" w:rsidR="001B123B" w:rsidTr="7ACE4484" w14:paraId="03CE29D8" w14:textId="77777777">
        <w:trPr>
          <w:trHeight w:val="1349" w:hRule="exact"/>
        </w:trPr>
        <w:tc>
          <w:tcPr>
            <w:tcW w:w="2378" w:type="dxa"/>
          </w:tcPr>
          <w:p w:rsidRPr="00936C76" w:rsidR="001B123B" w:rsidP="002D65EA" w:rsidRDefault="001B123B" w14:paraId="03CE29D4" w14:textId="77777777">
            <w:pPr>
              <w:tabs>
                <w:tab w:val="left" w:pos="1560"/>
              </w:tabs>
              <w:spacing w:after="0" w:line="240" w:lineRule="auto"/>
              <w:rPr>
                <w:rFonts w:asciiTheme="minorHAnsi" w:hAnsiTheme="minorHAnsi"/>
                <w:sz w:val="22"/>
              </w:rPr>
            </w:pPr>
            <w:r w:rsidRPr="00936C76">
              <w:rPr>
                <w:rFonts w:asciiTheme="minorHAnsi" w:hAnsiTheme="minorHAnsi"/>
                <w:sz w:val="22"/>
              </w:rPr>
              <w:t>Bijlage(n):</w:t>
            </w:r>
          </w:p>
        </w:tc>
        <w:tc>
          <w:tcPr>
            <w:tcW w:w="7138" w:type="dxa"/>
            <w:gridSpan w:val="3"/>
          </w:tcPr>
          <w:p w:rsidR="004A6B42" w:rsidP="00D86A66" w:rsidRDefault="008B73D1" w14:paraId="03CE29D5" w14:textId="3D72C2D5">
            <w:pPr>
              <w:pStyle w:val="Lijstalinea"/>
              <w:numPr>
                <w:ilvl w:val="0"/>
                <w:numId w:val="2"/>
              </w:numPr>
              <w:spacing w:line="240" w:lineRule="auto"/>
              <w:ind w:left="357" w:hanging="357"/>
              <w:rPr>
                <w:rFonts w:asciiTheme="minorHAnsi" w:hAnsiTheme="minorHAnsi"/>
                <w:sz w:val="22"/>
              </w:rPr>
            </w:pPr>
            <w:r>
              <w:rPr>
                <w:rFonts w:asciiTheme="minorHAnsi" w:hAnsiTheme="minorHAnsi"/>
                <w:sz w:val="22"/>
              </w:rPr>
              <w:t>Concept jaarverslag en jaarrekening 202</w:t>
            </w:r>
            <w:r w:rsidR="00DC1E55">
              <w:rPr>
                <w:rFonts w:asciiTheme="minorHAnsi" w:hAnsiTheme="minorHAnsi"/>
                <w:sz w:val="22"/>
              </w:rPr>
              <w:t>5</w:t>
            </w:r>
            <w:r>
              <w:rPr>
                <w:rFonts w:asciiTheme="minorHAnsi" w:hAnsiTheme="minorHAnsi"/>
                <w:sz w:val="22"/>
              </w:rPr>
              <w:t xml:space="preserve"> GGD Drenthe;</w:t>
            </w:r>
          </w:p>
          <w:p w:rsidRPr="00936C76" w:rsidR="008B73D1" w:rsidP="00D86A66" w:rsidRDefault="008B73D1" w14:paraId="797C19A8" w14:textId="4EEE9430">
            <w:pPr>
              <w:pStyle w:val="Lijstalinea"/>
              <w:numPr>
                <w:ilvl w:val="0"/>
                <w:numId w:val="2"/>
              </w:numPr>
              <w:spacing w:line="240" w:lineRule="auto"/>
              <w:ind w:left="357" w:hanging="357"/>
              <w:rPr>
                <w:rFonts w:asciiTheme="minorHAnsi" w:hAnsiTheme="minorHAnsi"/>
                <w:sz w:val="22"/>
              </w:rPr>
            </w:pPr>
            <w:r>
              <w:rPr>
                <w:rFonts w:asciiTheme="minorHAnsi" w:hAnsiTheme="minorHAnsi"/>
                <w:sz w:val="22"/>
              </w:rPr>
              <w:t>Rapportage rechtmatigheid;</w:t>
            </w:r>
          </w:p>
          <w:p w:rsidRPr="00936C76" w:rsidR="001B123B" w:rsidP="00D86A66" w:rsidRDefault="008B73D1" w14:paraId="03CE29D6" w14:textId="09E8FEFA">
            <w:pPr>
              <w:pStyle w:val="Lijstalinea"/>
              <w:numPr>
                <w:ilvl w:val="0"/>
                <w:numId w:val="2"/>
              </w:numPr>
              <w:spacing w:line="240" w:lineRule="auto"/>
              <w:ind w:left="357" w:hanging="357"/>
              <w:contextualSpacing w:val="0"/>
              <w:rPr>
                <w:rFonts w:ascii="Calibri" w:hAnsi="Calibri"/>
                <w:sz w:val="22"/>
              </w:rPr>
            </w:pPr>
            <w:r>
              <w:rPr>
                <w:rFonts w:ascii="Calibri" w:hAnsi="Calibri"/>
                <w:sz w:val="22"/>
              </w:rPr>
              <w:t>Managementletter.</w:t>
            </w:r>
          </w:p>
          <w:p w:rsidRPr="00936C76" w:rsidR="001B123B" w:rsidP="00B742CA" w:rsidRDefault="001B123B" w14:paraId="03CE29D7" w14:textId="77777777">
            <w:pPr>
              <w:pStyle w:val="Lijstalinea"/>
              <w:spacing w:line="240" w:lineRule="auto"/>
              <w:ind w:left="357"/>
              <w:contextualSpacing w:val="0"/>
              <w:rPr>
                <w:rFonts w:ascii="Calibri" w:hAnsi="Calibri"/>
                <w:sz w:val="22"/>
              </w:rPr>
            </w:pPr>
          </w:p>
        </w:tc>
      </w:tr>
    </w:tbl>
    <w:p w:rsidRPr="00A37670" w:rsidR="004F63AE" w:rsidP="002D65EA" w:rsidRDefault="004F63AE" w14:paraId="03CE29D9" w14:textId="77777777">
      <w:pPr>
        <w:spacing w:after="0"/>
        <w:rPr>
          <w:rFonts w:asciiTheme="minorHAnsi" w:hAnsiTheme="minorHAnsi"/>
          <w:b/>
          <w:sz w:val="28"/>
        </w:rPr>
      </w:pPr>
      <w:r w:rsidRPr="00A37670">
        <w:rPr>
          <w:rFonts w:asciiTheme="minorHAnsi" w:hAnsiTheme="minorHAnsi"/>
          <w:b/>
          <w:sz w:val="28"/>
        </w:rPr>
        <w:t>Onderwerp</w:t>
      </w:r>
    </w:p>
    <w:p w:rsidR="004F63AE" w:rsidP="002D65EA" w:rsidRDefault="008B73D1" w14:paraId="03CE29DA" w14:textId="04A9DFF7">
      <w:pPr>
        <w:spacing w:after="0" w:line="240" w:lineRule="auto"/>
        <w:rPr>
          <w:rFonts w:asciiTheme="minorHAnsi" w:hAnsiTheme="minorHAnsi"/>
          <w:sz w:val="28"/>
        </w:rPr>
      </w:pPr>
      <w:r>
        <w:rPr>
          <w:rFonts w:asciiTheme="minorHAnsi" w:hAnsiTheme="minorHAnsi"/>
          <w:sz w:val="22"/>
        </w:rPr>
        <w:t>Concept jaarverslag en jaarrekening 202</w:t>
      </w:r>
      <w:r w:rsidR="00244F1C">
        <w:rPr>
          <w:rFonts w:asciiTheme="minorHAnsi" w:hAnsiTheme="minorHAnsi"/>
          <w:sz w:val="22"/>
        </w:rPr>
        <w:t>5</w:t>
      </w:r>
      <w:r>
        <w:rPr>
          <w:rFonts w:asciiTheme="minorHAnsi" w:hAnsiTheme="minorHAnsi"/>
          <w:sz w:val="22"/>
        </w:rPr>
        <w:t xml:space="preserve"> GGD Drenthe</w:t>
      </w:r>
    </w:p>
    <w:p w:rsidRPr="002D65EA" w:rsidR="00D8192C" w:rsidP="002D65EA" w:rsidRDefault="00D8192C" w14:paraId="03CE29DB" w14:textId="77777777">
      <w:pPr>
        <w:spacing w:after="120" w:line="240" w:lineRule="auto"/>
        <w:rPr>
          <w:rFonts w:asciiTheme="minorHAnsi" w:hAnsiTheme="minorHAnsi"/>
          <w:sz w:val="22"/>
        </w:rPr>
      </w:pPr>
    </w:p>
    <w:p w:rsidR="006E3DD7" w:rsidP="002D65EA" w:rsidRDefault="004F63AE" w14:paraId="255CD7DE" w14:textId="00DFB4E1">
      <w:pPr>
        <w:spacing w:after="0"/>
        <w:rPr>
          <w:rFonts w:asciiTheme="minorHAnsi" w:hAnsiTheme="minorHAnsi"/>
          <w:bCs/>
          <w:sz w:val="28"/>
        </w:rPr>
      </w:pPr>
      <w:r w:rsidRPr="00A37670">
        <w:rPr>
          <w:rFonts w:asciiTheme="minorHAnsi" w:hAnsiTheme="minorHAnsi"/>
          <w:b/>
          <w:sz w:val="28"/>
        </w:rPr>
        <w:t>Beslispunt</w:t>
      </w:r>
      <w:r w:rsidR="00D52EF0">
        <w:rPr>
          <w:rFonts w:asciiTheme="minorHAnsi" w:hAnsiTheme="minorHAnsi"/>
          <w:b/>
          <w:sz w:val="28"/>
        </w:rPr>
        <w:t>en</w:t>
      </w:r>
    </w:p>
    <w:p w:rsidRPr="008B73D1" w:rsidR="00B530F9" w:rsidP="00D86A66" w:rsidRDefault="004F63AE" w14:paraId="0893559E" w14:textId="7F551179">
      <w:pPr>
        <w:pStyle w:val="Lijstalinea"/>
        <w:numPr>
          <w:ilvl w:val="0"/>
          <w:numId w:val="1"/>
        </w:numPr>
        <w:rPr>
          <w:rFonts w:asciiTheme="minorHAnsi" w:hAnsiTheme="minorHAnsi"/>
          <w:i/>
          <w:iCs/>
          <w:sz w:val="22"/>
        </w:rPr>
      </w:pPr>
      <w:r w:rsidRPr="00271A16">
        <w:rPr>
          <w:rFonts w:asciiTheme="minorHAnsi" w:hAnsiTheme="minorHAnsi"/>
          <w:i/>
          <w:iCs/>
          <w:sz w:val="22"/>
        </w:rPr>
        <w:t>Ten aanzien van de jaarstukken:</w:t>
      </w:r>
    </w:p>
    <w:p w:rsidRPr="00271A16" w:rsidR="006E3DD7" w:rsidP="00D86A66" w:rsidRDefault="006E3DD7" w14:paraId="5D0206F4" w14:textId="540335E3">
      <w:pPr>
        <w:pStyle w:val="Lijstalinea"/>
        <w:numPr>
          <w:ilvl w:val="1"/>
          <w:numId w:val="3"/>
        </w:numPr>
        <w:tabs>
          <w:tab w:val="left" w:pos="-1440"/>
          <w:tab w:val="left" w:pos="284"/>
          <w:tab w:val="left" w:pos="709"/>
        </w:tabs>
        <w:outlineLvl w:val="0"/>
        <w:rPr>
          <w:rFonts w:asciiTheme="minorHAnsi" w:hAnsiTheme="minorHAnsi"/>
          <w:sz w:val="22"/>
        </w:rPr>
      </w:pPr>
      <w:r w:rsidRPr="00271A16">
        <w:rPr>
          <w:rFonts w:asciiTheme="minorHAnsi" w:hAnsiTheme="minorHAnsi"/>
          <w:sz w:val="22"/>
        </w:rPr>
        <w:t xml:space="preserve"> </w:t>
      </w:r>
      <w:r w:rsidRPr="00271A16" w:rsidR="000958D1">
        <w:rPr>
          <w:rFonts w:asciiTheme="minorHAnsi" w:hAnsiTheme="minorHAnsi"/>
          <w:sz w:val="22"/>
        </w:rPr>
        <w:t xml:space="preserve">Het </w:t>
      </w:r>
      <w:r w:rsidR="008B73D1">
        <w:rPr>
          <w:rFonts w:asciiTheme="minorHAnsi" w:hAnsiTheme="minorHAnsi"/>
          <w:sz w:val="22"/>
        </w:rPr>
        <w:t xml:space="preserve">concept </w:t>
      </w:r>
      <w:r w:rsidRPr="00271A16" w:rsidR="00C650C7">
        <w:rPr>
          <w:rFonts w:asciiTheme="minorHAnsi" w:hAnsiTheme="minorHAnsi"/>
          <w:sz w:val="22"/>
        </w:rPr>
        <w:t>j</w:t>
      </w:r>
      <w:r w:rsidRPr="00271A16" w:rsidR="00B530F9">
        <w:rPr>
          <w:rFonts w:asciiTheme="minorHAnsi" w:hAnsiTheme="minorHAnsi"/>
          <w:sz w:val="22"/>
        </w:rPr>
        <w:t>aar</w:t>
      </w:r>
      <w:r w:rsidRPr="00271A16" w:rsidR="000958D1">
        <w:rPr>
          <w:rFonts w:asciiTheme="minorHAnsi" w:hAnsiTheme="minorHAnsi"/>
          <w:sz w:val="22"/>
        </w:rPr>
        <w:t>verslag</w:t>
      </w:r>
      <w:r w:rsidRPr="00271A16" w:rsidR="00B530F9">
        <w:rPr>
          <w:rFonts w:asciiTheme="minorHAnsi" w:hAnsiTheme="minorHAnsi"/>
          <w:sz w:val="22"/>
        </w:rPr>
        <w:t xml:space="preserve"> </w:t>
      </w:r>
      <w:r w:rsidRPr="00271A16" w:rsidR="000958D1">
        <w:rPr>
          <w:rFonts w:asciiTheme="minorHAnsi" w:hAnsiTheme="minorHAnsi"/>
          <w:sz w:val="22"/>
        </w:rPr>
        <w:t xml:space="preserve">en jaarrekening </w:t>
      </w:r>
      <w:r w:rsidRPr="00271A16" w:rsidR="00B530F9">
        <w:rPr>
          <w:rFonts w:asciiTheme="minorHAnsi" w:hAnsiTheme="minorHAnsi"/>
          <w:sz w:val="22"/>
        </w:rPr>
        <w:t>202</w:t>
      </w:r>
      <w:r w:rsidR="00244F1C">
        <w:rPr>
          <w:rFonts w:asciiTheme="minorHAnsi" w:hAnsiTheme="minorHAnsi"/>
          <w:sz w:val="22"/>
        </w:rPr>
        <w:t>5</w:t>
      </w:r>
      <w:r w:rsidRPr="00271A16" w:rsidR="00B530F9">
        <w:rPr>
          <w:rFonts w:asciiTheme="minorHAnsi" w:hAnsiTheme="minorHAnsi"/>
          <w:sz w:val="22"/>
        </w:rPr>
        <w:t xml:space="preserve"> van GGD </w:t>
      </w:r>
      <w:r w:rsidR="008B73D1">
        <w:rPr>
          <w:rFonts w:asciiTheme="minorHAnsi" w:hAnsiTheme="minorHAnsi"/>
          <w:sz w:val="22"/>
        </w:rPr>
        <w:t xml:space="preserve">Drenthe </w:t>
      </w:r>
      <w:r w:rsidRPr="00271A16">
        <w:rPr>
          <w:rFonts w:asciiTheme="minorHAnsi" w:hAnsiTheme="minorHAnsi"/>
          <w:sz w:val="22"/>
        </w:rPr>
        <w:t xml:space="preserve">vast te stellen en ter kennisname te sturen naar de </w:t>
      </w:r>
      <w:r w:rsidR="008B73D1">
        <w:rPr>
          <w:rFonts w:asciiTheme="minorHAnsi" w:hAnsiTheme="minorHAnsi"/>
          <w:sz w:val="22"/>
        </w:rPr>
        <w:t xml:space="preserve">deelnemende </w:t>
      </w:r>
      <w:r w:rsidRPr="00271A16">
        <w:rPr>
          <w:rFonts w:asciiTheme="minorHAnsi" w:hAnsiTheme="minorHAnsi"/>
          <w:sz w:val="22"/>
        </w:rPr>
        <w:t>gemeenten</w:t>
      </w:r>
      <w:r w:rsidRPr="00271A16" w:rsidR="00BD5F73">
        <w:rPr>
          <w:rFonts w:asciiTheme="minorHAnsi" w:hAnsiTheme="minorHAnsi"/>
          <w:sz w:val="22"/>
        </w:rPr>
        <w:t>.</w:t>
      </w:r>
    </w:p>
    <w:p w:rsidR="00FB25AA" w:rsidP="00D86A66" w:rsidRDefault="00FB25AA" w14:paraId="055217BA" w14:textId="1C465752">
      <w:pPr>
        <w:pStyle w:val="Lijstalinea"/>
        <w:numPr>
          <w:ilvl w:val="0"/>
          <w:numId w:val="3"/>
        </w:numPr>
        <w:tabs>
          <w:tab w:val="left" w:pos="-1440"/>
          <w:tab w:val="left" w:pos="284"/>
        </w:tabs>
        <w:outlineLvl w:val="0"/>
        <w:rPr>
          <w:rFonts w:asciiTheme="minorHAnsi" w:hAnsiTheme="minorHAnsi"/>
          <w:i/>
          <w:iCs/>
          <w:sz w:val="22"/>
        </w:rPr>
      </w:pPr>
      <w:r w:rsidRPr="00271A16">
        <w:rPr>
          <w:rFonts w:asciiTheme="minorHAnsi" w:hAnsiTheme="minorHAnsi"/>
          <w:i/>
          <w:iCs/>
          <w:sz w:val="22"/>
        </w:rPr>
        <w:t xml:space="preserve">Ten aanzien van </w:t>
      </w:r>
      <w:r w:rsidR="00D82FFF">
        <w:rPr>
          <w:rFonts w:asciiTheme="minorHAnsi" w:hAnsiTheme="minorHAnsi"/>
          <w:i/>
          <w:iCs/>
          <w:sz w:val="22"/>
        </w:rPr>
        <w:t>de egalisatiereserve</w:t>
      </w:r>
    </w:p>
    <w:p w:rsidRPr="00D82FFF" w:rsidR="003E5B3F" w:rsidP="00D86A66" w:rsidRDefault="00D82FFF" w14:paraId="653A9D73" w14:textId="2B6E1EF2">
      <w:pPr>
        <w:pStyle w:val="Lijstalinea"/>
        <w:numPr>
          <w:ilvl w:val="1"/>
          <w:numId w:val="3"/>
        </w:numPr>
        <w:tabs>
          <w:tab w:val="left" w:pos="-1440"/>
          <w:tab w:val="left" w:pos="284"/>
        </w:tabs>
        <w:outlineLvl w:val="0"/>
        <w:rPr>
          <w:rFonts w:asciiTheme="minorHAnsi" w:hAnsiTheme="minorHAnsi"/>
          <w:i/>
          <w:sz w:val="22"/>
        </w:rPr>
      </w:pPr>
      <w:r>
        <w:rPr>
          <w:rFonts w:asciiTheme="minorHAnsi" w:hAnsiTheme="minorHAnsi"/>
          <w:sz w:val="22"/>
        </w:rPr>
        <w:t xml:space="preserve">Deze reserve van € </w:t>
      </w:r>
      <w:r w:rsidR="0008691F">
        <w:rPr>
          <w:rFonts w:asciiTheme="minorHAnsi" w:hAnsiTheme="minorHAnsi"/>
          <w:sz w:val="22"/>
        </w:rPr>
        <w:t>315.609, =</w:t>
      </w:r>
      <w:r>
        <w:rPr>
          <w:rFonts w:asciiTheme="minorHAnsi" w:hAnsiTheme="minorHAnsi"/>
          <w:sz w:val="22"/>
        </w:rPr>
        <w:t xml:space="preserve"> her te bestemmen en over te hevelen naar de reserve Organisatieontwikkeling</w:t>
      </w:r>
    </w:p>
    <w:p w:rsidR="006F06E8" w:rsidP="006F06E8" w:rsidRDefault="006F06E8" w14:paraId="0AB44C70" w14:textId="745B7911">
      <w:pPr>
        <w:pStyle w:val="Lijstalinea"/>
        <w:numPr>
          <w:ilvl w:val="0"/>
          <w:numId w:val="3"/>
        </w:numPr>
        <w:tabs>
          <w:tab w:val="left" w:pos="-1440"/>
          <w:tab w:val="left" w:pos="284"/>
        </w:tabs>
        <w:outlineLvl w:val="0"/>
        <w:rPr>
          <w:rFonts w:asciiTheme="minorHAnsi" w:hAnsiTheme="minorHAnsi"/>
          <w:i/>
          <w:iCs/>
          <w:sz w:val="22"/>
        </w:rPr>
      </w:pPr>
      <w:r w:rsidRPr="006F06E8">
        <w:rPr>
          <w:rFonts w:asciiTheme="minorHAnsi" w:hAnsiTheme="minorHAnsi"/>
          <w:i/>
          <w:iCs/>
          <w:sz w:val="22"/>
        </w:rPr>
        <w:t xml:space="preserve">Ten aanzien van de reserve </w:t>
      </w:r>
      <w:r w:rsidR="008300D2">
        <w:rPr>
          <w:rFonts w:asciiTheme="minorHAnsi" w:hAnsiTheme="minorHAnsi"/>
          <w:i/>
          <w:iCs/>
          <w:sz w:val="22"/>
        </w:rPr>
        <w:t>O</w:t>
      </w:r>
      <w:r w:rsidRPr="006F06E8">
        <w:rPr>
          <w:rFonts w:asciiTheme="minorHAnsi" w:hAnsiTheme="minorHAnsi"/>
          <w:i/>
          <w:iCs/>
          <w:sz w:val="22"/>
        </w:rPr>
        <w:t>rganisatieontwikkeling</w:t>
      </w:r>
    </w:p>
    <w:p w:rsidR="006F06E8" w:rsidP="006F06E8" w:rsidRDefault="00B05A15" w14:paraId="142E1E2A" w14:textId="078A04D0">
      <w:pPr>
        <w:pStyle w:val="Lijstalinea"/>
        <w:numPr>
          <w:ilvl w:val="1"/>
          <w:numId w:val="3"/>
        </w:numPr>
        <w:tabs>
          <w:tab w:val="left" w:pos="-1440"/>
          <w:tab w:val="left" w:pos="284"/>
        </w:tabs>
        <w:outlineLvl w:val="0"/>
        <w:rPr>
          <w:rFonts w:asciiTheme="minorHAnsi" w:hAnsiTheme="minorHAnsi"/>
          <w:i/>
          <w:iCs/>
          <w:sz w:val="22"/>
        </w:rPr>
      </w:pPr>
      <w:r>
        <w:rPr>
          <w:rFonts w:asciiTheme="minorHAnsi" w:hAnsiTheme="minorHAnsi"/>
          <w:i/>
          <w:iCs/>
          <w:sz w:val="22"/>
        </w:rPr>
        <w:t xml:space="preserve">Het resultaat van JGZ in flow € </w:t>
      </w:r>
      <w:r w:rsidR="0008691F">
        <w:rPr>
          <w:rFonts w:asciiTheme="minorHAnsi" w:hAnsiTheme="minorHAnsi"/>
          <w:i/>
          <w:iCs/>
          <w:sz w:val="22"/>
        </w:rPr>
        <w:t>15.221, =</w:t>
      </w:r>
    </w:p>
    <w:p w:rsidR="00B05A15" w:rsidP="006F06E8" w:rsidRDefault="00B05A15" w14:paraId="34ECF310" w14:textId="42DF9A8A">
      <w:pPr>
        <w:pStyle w:val="Lijstalinea"/>
        <w:numPr>
          <w:ilvl w:val="1"/>
          <w:numId w:val="3"/>
        </w:numPr>
        <w:tabs>
          <w:tab w:val="left" w:pos="-1440"/>
          <w:tab w:val="left" w:pos="284"/>
        </w:tabs>
        <w:outlineLvl w:val="0"/>
        <w:rPr>
          <w:rFonts w:asciiTheme="minorHAnsi" w:hAnsiTheme="minorHAnsi"/>
          <w:i/>
          <w:iCs/>
          <w:sz w:val="22"/>
        </w:rPr>
      </w:pPr>
      <w:r>
        <w:rPr>
          <w:rFonts w:asciiTheme="minorHAnsi" w:hAnsiTheme="minorHAnsi"/>
          <w:i/>
          <w:iCs/>
          <w:sz w:val="22"/>
        </w:rPr>
        <w:t>Het resultaat van Governance Zorg en Veiligheid Drenthe €76.</w:t>
      </w:r>
      <w:r w:rsidR="0008691F">
        <w:rPr>
          <w:rFonts w:asciiTheme="minorHAnsi" w:hAnsiTheme="minorHAnsi"/>
          <w:i/>
          <w:iCs/>
          <w:sz w:val="22"/>
        </w:rPr>
        <w:t>674, =</w:t>
      </w:r>
    </w:p>
    <w:p w:rsidR="00B05A15" w:rsidP="006F06E8" w:rsidRDefault="00B05A15" w14:paraId="765EADF8" w14:textId="305663FF">
      <w:pPr>
        <w:pStyle w:val="Lijstalinea"/>
        <w:numPr>
          <w:ilvl w:val="1"/>
          <w:numId w:val="3"/>
        </w:numPr>
        <w:tabs>
          <w:tab w:val="left" w:pos="-1440"/>
          <w:tab w:val="left" w:pos="284"/>
        </w:tabs>
        <w:outlineLvl w:val="0"/>
        <w:rPr>
          <w:rFonts w:asciiTheme="minorHAnsi" w:hAnsiTheme="minorHAnsi"/>
          <w:i/>
          <w:iCs/>
          <w:sz w:val="22"/>
        </w:rPr>
      </w:pPr>
      <w:r>
        <w:rPr>
          <w:rFonts w:asciiTheme="minorHAnsi" w:hAnsiTheme="minorHAnsi"/>
          <w:i/>
          <w:iCs/>
          <w:sz w:val="22"/>
        </w:rPr>
        <w:t>En het niet geoormerkte resultaat van €39.</w:t>
      </w:r>
      <w:r w:rsidR="0008691F">
        <w:rPr>
          <w:rFonts w:asciiTheme="minorHAnsi" w:hAnsiTheme="minorHAnsi"/>
          <w:i/>
          <w:iCs/>
          <w:sz w:val="22"/>
        </w:rPr>
        <w:t>062, =</w:t>
      </w:r>
    </w:p>
    <w:p w:rsidRPr="006F06E8" w:rsidR="00B05A15" w:rsidP="00B05A15" w:rsidRDefault="0008691F" w14:paraId="1731181D" w14:textId="00498804">
      <w:pPr>
        <w:pStyle w:val="Lijstalinea"/>
        <w:tabs>
          <w:tab w:val="left" w:pos="-1440"/>
          <w:tab w:val="left" w:pos="284"/>
        </w:tabs>
        <w:ind w:left="792"/>
        <w:outlineLvl w:val="0"/>
        <w:rPr>
          <w:rFonts w:asciiTheme="minorHAnsi" w:hAnsiTheme="minorHAnsi"/>
          <w:i/>
          <w:iCs/>
          <w:sz w:val="22"/>
        </w:rPr>
      </w:pPr>
      <w:r>
        <w:rPr>
          <w:rFonts w:asciiTheme="minorHAnsi" w:hAnsiTheme="minorHAnsi"/>
          <w:i/>
          <w:iCs/>
          <w:sz w:val="22"/>
        </w:rPr>
        <w:t>toe</w:t>
      </w:r>
      <w:r w:rsidR="00B05A15">
        <w:rPr>
          <w:rFonts w:asciiTheme="minorHAnsi" w:hAnsiTheme="minorHAnsi"/>
          <w:i/>
          <w:iCs/>
          <w:sz w:val="22"/>
        </w:rPr>
        <w:t xml:space="preserve"> te voegen aan de </w:t>
      </w:r>
      <w:r w:rsidR="00FC3297">
        <w:rPr>
          <w:rFonts w:asciiTheme="minorHAnsi" w:hAnsiTheme="minorHAnsi"/>
          <w:i/>
          <w:iCs/>
          <w:sz w:val="22"/>
        </w:rPr>
        <w:t>niet geoormerkte</w:t>
      </w:r>
      <w:r w:rsidR="00B05A15">
        <w:rPr>
          <w:rFonts w:asciiTheme="minorHAnsi" w:hAnsiTheme="minorHAnsi"/>
          <w:i/>
          <w:iCs/>
          <w:sz w:val="22"/>
        </w:rPr>
        <w:t xml:space="preserve"> reserve Organisatieontwikkeling</w:t>
      </w:r>
    </w:p>
    <w:p w:rsidRPr="00271A16" w:rsidR="00FC3297" w:rsidP="00FC3297" w:rsidRDefault="00FC3297" w14:paraId="24556CC6" w14:textId="77777777">
      <w:pPr>
        <w:pStyle w:val="Lijstalinea"/>
        <w:numPr>
          <w:ilvl w:val="0"/>
          <w:numId w:val="3"/>
        </w:numPr>
        <w:tabs>
          <w:tab w:val="left" w:pos="-1440"/>
          <w:tab w:val="left" w:pos="284"/>
          <w:tab w:val="left" w:pos="709"/>
        </w:tabs>
        <w:outlineLvl w:val="0"/>
        <w:rPr>
          <w:rFonts w:asciiTheme="minorHAnsi" w:hAnsiTheme="minorHAnsi"/>
          <w:i/>
          <w:iCs/>
          <w:sz w:val="22"/>
        </w:rPr>
      </w:pPr>
      <w:r w:rsidRPr="00271A16">
        <w:rPr>
          <w:rFonts w:asciiTheme="minorHAnsi" w:hAnsiTheme="minorHAnsi"/>
          <w:i/>
          <w:iCs/>
          <w:sz w:val="22"/>
        </w:rPr>
        <w:t xml:space="preserve">Ten aanzien van </w:t>
      </w:r>
      <w:r>
        <w:rPr>
          <w:rFonts w:asciiTheme="minorHAnsi" w:hAnsiTheme="minorHAnsi"/>
          <w:i/>
          <w:iCs/>
          <w:sz w:val="22"/>
        </w:rPr>
        <w:t>het resultaat op Jeugdgezondheidszorg/Oekraïne</w:t>
      </w:r>
      <w:r w:rsidRPr="00271A16">
        <w:rPr>
          <w:rFonts w:asciiTheme="minorHAnsi" w:hAnsiTheme="minorHAnsi"/>
          <w:i/>
          <w:iCs/>
          <w:sz w:val="22"/>
        </w:rPr>
        <w:t>:</w:t>
      </w:r>
    </w:p>
    <w:p w:rsidR="00FC3297" w:rsidP="00FC3297" w:rsidRDefault="00FC3297" w14:paraId="7C3A9B2D" w14:textId="23C491AB">
      <w:pPr>
        <w:pStyle w:val="Lijstalinea"/>
        <w:numPr>
          <w:ilvl w:val="1"/>
          <w:numId w:val="3"/>
        </w:numPr>
        <w:tabs>
          <w:tab w:val="left" w:pos="-1440"/>
          <w:tab w:val="left" w:pos="284"/>
          <w:tab w:val="left" w:pos="709"/>
        </w:tabs>
        <w:outlineLvl w:val="0"/>
        <w:rPr>
          <w:rFonts w:asciiTheme="minorHAnsi" w:hAnsiTheme="minorHAnsi"/>
          <w:sz w:val="22"/>
        </w:rPr>
      </w:pPr>
      <w:r>
        <w:rPr>
          <w:rFonts w:asciiTheme="minorHAnsi" w:hAnsiTheme="minorHAnsi"/>
          <w:sz w:val="22"/>
        </w:rPr>
        <w:t xml:space="preserve"> </w:t>
      </w:r>
      <w:r w:rsidR="009A3722">
        <w:rPr>
          <w:rFonts w:asciiTheme="minorHAnsi" w:hAnsiTheme="minorHAnsi"/>
          <w:sz w:val="22"/>
        </w:rPr>
        <w:t>Kennis te nemen van h</w:t>
      </w:r>
      <w:r>
        <w:rPr>
          <w:rFonts w:asciiTheme="minorHAnsi" w:hAnsiTheme="minorHAnsi"/>
          <w:sz w:val="22"/>
        </w:rPr>
        <w:t>et</w:t>
      </w:r>
      <w:r w:rsidR="009A3722">
        <w:rPr>
          <w:rFonts w:asciiTheme="minorHAnsi" w:hAnsiTheme="minorHAnsi"/>
          <w:sz w:val="22"/>
        </w:rPr>
        <w:t xml:space="preserve"> positieve</w:t>
      </w:r>
      <w:r>
        <w:rPr>
          <w:rFonts w:asciiTheme="minorHAnsi" w:hAnsiTheme="minorHAnsi"/>
          <w:sz w:val="22"/>
        </w:rPr>
        <w:t xml:space="preserve"> resultaat op de werkzaamheden die we verricht hebben voor Jeugdgezondheidszorg Oekraïne van € </w:t>
      </w:r>
      <w:r w:rsidR="0008691F">
        <w:rPr>
          <w:rFonts w:asciiTheme="minorHAnsi" w:hAnsiTheme="minorHAnsi"/>
          <w:sz w:val="22"/>
        </w:rPr>
        <w:t>202.000, =</w:t>
      </w:r>
      <w:r w:rsidR="009A3722">
        <w:rPr>
          <w:rFonts w:asciiTheme="minorHAnsi" w:hAnsiTheme="minorHAnsi"/>
          <w:sz w:val="22"/>
        </w:rPr>
        <w:t xml:space="preserve"> en </w:t>
      </w:r>
      <w:r w:rsidR="004F276E">
        <w:rPr>
          <w:rFonts w:asciiTheme="minorHAnsi" w:hAnsiTheme="minorHAnsi"/>
          <w:sz w:val="22"/>
        </w:rPr>
        <w:t xml:space="preserve">te besluiten dit </w:t>
      </w:r>
      <w:r w:rsidR="00AE77A2">
        <w:rPr>
          <w:rFonts w:asciiTheme="minorHAnsi" w:hAnsiTheme="minorHAnsi"/>
          <w:sz w:val="22"/>
        </w:rPr>
        <w:t xml:space="preserve">in </w:t>
      </w:r>
      <w:r w:rsidR="00BA38FF">
        <w:rPr>
          <w:rFonts w:asciiTheme="minorHAnsi" w:hAnsiTheme="minorHAnsi"/>
          <w:sz w:val="22"/>
        </w:rPr>
        <w:t xml:space="preserve">principe </w:t>
      </w:r>
      <w:r w:rsidR="009A3722">
        <w:rPr>
          <w:rFonts w:asciiTheme="minorHAnsi" w:hAnsiTheme="minorHAnsi"/>
          <w:sz w:val="22"/>
        </w:rPr>
        <w:t>conform afspraak terug te laten vloeien naar de gemeenten</w:t>
      </w:r>
    </w:p>
    <w:p w:rsidR="00FC3297" w:rsidP="00FC3297" w:rsidRDefault="009A3722" w14:paraId="4718EC39" w14:textId="37A6089E">
      <w:pPr>
        <w:pStyle w:val="Lijstalinea"/>
        <w:numPr>
          <w:ilvl w:val="0"/>
          <w:numId w:val="3"/>
        </w:numPr>
        <w:tabs>
          <w:tab w:val="left" w:pos="-1440"/>
          <w:tab w:val="left" w:pos="709"/>
        </w:tabs>
        <w:outlineLvl w:val="0"/>
        <w:rPr>
          <w:rFonts w:asciiTheme="minorHAnsi" w:hAnsiTheme="minorHAnsi"/>
          <w:i/>
          <w:sz w:val="22"/>
        </w:rPr>
      </w:pPr>
      <w:r>
        <w:rPr>
          <w:rFonts w:asciiTheme="minorHAnsi" w:hAnsiTheme="minorHAnsi"/>
          <w:i/>
          <w:sz w:val="22"/>
        </w:rPr>
        <w:t xml:space="preserve">Ten aanzien van het resultaat na </w:t>
      </w:r>
      <w:r w:rsidR="008300D2">
        <w:rPr>
          <w:rFonts w:asciiTheme="minorHAnsi" w:hAnsiTheme="minorHAnsi"/>
          <w:i/>
          <w:sz w:val="22"/>
        </w:rPr>
        <w:t xml:space="preserve">de </w:t>
      </w:r>
      <w:r>
        <w:rPr>
          <w:rFonts w:asciiTheme="minorHAnsi" w:hAnsiTheme="minorHAnsi"/>
          <w:i/>
          <w:sz w:val="22"/>
        </w:rPr>
        <w:t>bestemming</w:t>
      </w:r>
      <w:r w:rsidR="008300D2">
        <w:rPr>
          <w:rFonts w:asciiTheme="minorHAnsi" w:hAnsiTheme="minorHAnsi"/>
          <w:i/>
          <w:sz w:val="22"/>
        </w:rPr>
        <w:t>en onder punt 1 tm 4</w:t>
      </w:r>
    </w:p>
    <w:p w:rsidRPr="004F276E" w:rsidR="004F276E" w:rsidP="009A3722" w:rsidRDefault="009A3722" w14:paraId="7E734583" w14:textId="1D4BCD8A">
      <w:pPr>
        <w:pStyle w:val="Lijstalinea"/>
        <w:numPr>
          <w:ilvl w:val="1"/>
          <w:numId w:val="3"/>
        </w:numPr>
        <w:tabs>
          <w:tab w:val="left" w:pos="-1440"/>
          <w:tab w:val="left" w:pos="709"/>
        </w:tabs>
        <w:outlineLvl w:val="0"/>
        <w:rPr>
          <w:rFonts w:asciiTheme="minorHAnsi" w:hAnsiTheme="minorHAnsi"/>
          <w:i/>
          <w:sz w:val="22"/>
        </w:rPr>
      </w:pPr>
      <w:r>
        <w:rPr>
          <w:rFonts w:asciiTheme="minorHAnsi" w:hAnsiTheme="minorHAnsi"/>
          <w:i/>
          <w:sz w:val="22"/>
        </w:rPr>
        <w:t xml:space="preserve"> </w:t>
      </w:r>
      <w:r>
        <w:rPr>
          <w:rFonts w:asciiTheme="minorHAnsi" w:hAnsiTheme="minorHAnsi"/>
          <w:iCs/>
          <w:sz w:val="22"/>
        </w:rPr>
        <w:t xml:space="preserve">Kennis te nemen van het </w:t>
      </w:r>
      <w:r w:rsidR="003D196C">
        <w:rPr>
          <w:rFonts w:asciiTheme="minorHAnsi" w:hAnsiTheme="minorHAnsi"/>
          <w:iCs/>
          <w:sz w:val="22"/>
        </w:rPr>
        <w:t xml:space="preserve">positieve resultaat van € </w:t>
      </w:r>
      <w:r w:rsidR="0008691F">
        <w:rPr>
          <w:rFonts w:asciiTheme="minorHAnsi" w:hAnsiTheme="minorHAnsi"/>
          <w:iCs/>
          <w:sz w:val="22"/>
        </w:rPr>
        <w:t>67.000, =</w:t>
      </w:r>
      <w:r w:rsidR="003D196C">
        <w:rPr>
          <w:rFonts w:asciiTheme="minorHAnsi" w:hAnsiTheme="minorHAnsi"/>
          <w:iCs/>
          <w:sz w:val="22"/>
        </w:rPr>
        <w:t xml:space="preserve">. </w:t>
      </w:r>
    </w:p>
    <w:p w:rsidRPr="00AE77A2" w:rsidR="00AE77A2" w:rsidP="00AE77A2" w:rsidRDefault="00AE77A2" w14:paraId="25767F70" w14:textId="028A41D8">
      <w:pPr>
        <w:pStyle w:val="Lijstalinea"/>
        <w:numPr>
          <w:ilvl w:val="1"/>
          <w:numId w:val="3"/>
        </w:numPr>
        <w:tabs>
          <w:tab w:val="left" w:pos="-1440"/>
          <w:tab w:val="left" w:pos="709"/>
        </w:tabs>
        <w:outlineLvl w:val="0"/>
        <w:rPr>
          <w:rFonts w:asciiTheme="minorHAnsi" w:hAnsiTheme="minorHAnsi"/>
          <w:i/>
          <w:sz w:val="22"/>
        </w:rPr>
      </w:pPr>
      <w:r>
        <w:rPr>
          <w:rFonts w:asciiTheme="minorHAnsi" w:hAnsiTheme="minorHAnsi"/>
          <w:iCs/>
          <w:sz w:val="22"/>
        </w:rPr>
        <w:lastRenderedPageBreak/>
        <w:t>Kennis te nemen van het effect van</w:t>
      </w:r>
      <w:r w:rsidR="004F276E">
        <w:rPr>
          <w:rFonts w:asciiTheme="minorHAnsi" w:hAnsiTheme="minorHAnsi"/>
          <w:iCs/>
          <w:sz w:val="22"/>
        </w:rPr>
        <w:t xml:space="preserve"> het onder punt 4 voorgestelde </w:t>
      </w:r>
      <w:r w:rsidR="00BA38FF">
        <w:rPr>
          <w:rFonts w:asciiTheme="minorHAnsi" w:hAnsiTheme="minorHAnsi"/>
          <w:iCs/>
          <w:sz w:val="22"/>
        </w:rPr>
        <w:t xml:space="preserve">principe </w:t>
      </w:r>
      <w:r w:rsidR="004F276E">
        <w:rPr>
          <w:rFonts w:asciiTheme="minorHAnsi" w:hAnsiTheme="minorHAnsi"/>
          <w:iCs/>
          <w:sz w:val="22"/>
        </w:rPr>
        <w:t xml:space="preserve">besluit </w:t>
      </w:r>
      <w:r>
        <w:rPr>
          <w:rFonts w:asciiTheme="minorHAnsi" w:hAnsiTheme="minorHAnsi"/>
          <w:iCs/>
          <w:sz w:val="22"/>
        </w:rPr>
        <w:t xml:space="preserve">met betrekking tot JGZ </w:t>
      </w:r>
      <w:r w:rsidR="00BA38FF">
        <w:rPr>
          <w:rFonts w:asciiTheme="minorHAnsi" w:hAnsiTheme="minorHAnsi"/>
          <w:iCs/>
          <w:sz w:val="22"/>
        </w:rPr>
        <w:t>Oekraïne</w:t>
      </w:r>
      <w:r>
        <w:rPr>
          <w:rFonts w:asciiTheme="minorHAnsi" w:hAnsiTheme="minorHAnsi"/>
          <w:iCs/>
          <w:sz w:val="22"/>
        </w:rPr>
        <w:t xml:space="preserve"> en dat dit zal leiden tot een negatief resultaat van </w:t>
      </w:r>
      <w:r w:rsidR="009A3722">
        <w:rPr>
          <w:rFonts w:asciiTheme="minorHAnsi" w:hAnsiTheme="minorHAnsi"/>
          <w:iCs/>
          <w:sz w:val="22"/>
        </w:rPr>
        <w:t xml:space="preserve">€ </w:t>
      </w:r>
      <w:r w:rsidR="0008691F">
        <w:rPr>
          <w:rFonts w:asciiTheme="minorHAnsi" w:hAnsiTheme="minorHAnsi"/>
          <w:iCs/>
          <w:sz w:val="22"/>
        </w:rPr>
        <w:t>134.000, =</w:t>
      </w:r>
      <w:r>
        <w:rPr>
          <w:rFonts w:asciiTheme="minorHAnsi" w:hAnsiTheme="minorHAnsi"/>
          <w:iCs/>
          <w:sz w:val="22"/>
        </w:rPr>
        <w:t xml:space="preserve"> </w:t>
      </w:r>
    </w:p>
    <w:p w:rsidRPr="00194512" w:rsidR="00194512" w:rsidP="00194512" w:rsidRDefault="00194512" w14:paraId="29775FDF" w14:textId="0D67586B">
      <w:pPr>
        <w:pStyle w:val="Lijstalinea"/>
        <w:numPr>
          <w:ilvl w:val="1"/>
          <w:numId w:val="3"/>
        </w:numPr>
        <w:tabs>
          <w:tab w:val="left" w:pos="-1440"/>
          <w:tab w:val="left" w:pos="284"/>
        </w:tabs>
        <w:outlineLvl w:val="0"/>
        <w:rPr>
          <w:rFonts w:asciiTheme="minorHAnsi" w:hAnsiTheme="minorHAnsi"/>
          <w:i/>
          <w:sz w:val="22"/>
        </w:rPr>
      </w:pPr>
      <w:r w:rsidRPr="00194512">
        <w:rPr>
          <w:rFonts w:asciiTheme="minorHAnsi" w:hAnsiTheme="minorHAnsi"/>
          <w:iCs/>
          <w:sz w:val="22"/>
        </w:rPr>
        <w:t>Het saldo van deze resultaten</w:t>
      </w:r>
      <w:r w:rsidR="00AE77A2">
        <w:rPr>
          <w:rFonts w:asciiTheme="minorHAnsi" w:hAnsiTheme="minorHAnsi"/>
          <w:iCs/>
          <w:sz w:val="22"/>
        </w:rPr>
        <w:t xml:space="preserve"> (resp. € </w:t>
      </w:r>
      <w:r w:rsidR="0008691F">
        <w:rPr>
          <w:rFonts w:asciiTheme="minorHAnsi" w:hAnsiTheme="minorHAnsi"/>
          <w:iCs/>
          <w:sz w:val="22"/>
        </w:rPr>
        <w:t>202.000, =</w:t>
      </w:r>
      <w:r w:rsidR="00AE77A2">
        <w:rPr>
          <w:rFonts w:asciiTheme="minorHAnsi" w:hAnsiTheme="minorHAnsi"/>
          <w:iCs/>
          <w:sz w:val="22"/>
        </w:rPr>
        <w:t xml:space="preserve"> positief en € 134.000 </w:t>
      </w:r>
      <w:r w:rsidR="0008691F">
        <w:rPr>
          <w:rFonts w:asciiTheme="minorHAnsi" w:hAnsiTheme="minorHAnsi"/>
          <w:iCs/>
          <w:sz w:val="22"/>
        </w:rPr>
        <w:t xml:space="preserve">negatief) </w:t>
      </w:r>
      <w:r w:rsidRPr="00194512" w:rsidR="0008691F">
        <w:rPr>
          <w:rFonts w:asciiTheme="minorHAnsi" w:hAnsiTheme="minorHAnsi"/>
          <w:iCs/>
          <w:sz w:val="22"/>
        </w:rPr>
        <w:t>van</w:t>
      </w:r>
      <w:r w:rsidRPr="00194512">
        <w:rPr>
          <w:rFonts w:asciiTheme="minorHAnsi" w:hAnsiTheme="minorHAnsi"/>
          <w:iCs/>
          <w:sz w:val="22"/>
        </w:rPr>
        <w:t xml:space="preserve"> € </w:t>
      </w:r>
      <w:r w:rsidRPr="00194512" w:rsidR="0008691F">
        <w:rPr>
          <w:rFonts w:asciiTheme="minorHAnsi" w:hAnsiTheme="minorHAnsi"/>
          <w:iCs/>
          <w:sz w:val="22"/>
        </w:rPr>
        <w:t>67.000, =</w:t>
      </w:r>
      <w:r w:rsidRPr="00194512">
        <w:rPr>
          <w:rFonts w:asciiTheme="minorHAnsi" w:hAnsiTheme="minorHAnsi"/>
          <w:iCs/>
          <w:sz w:val="22"/>
        </w:rPr>
        <w:t xml:space="preserve"> </w:t>
      </w:r>
      <w:r w:rsidR="00BA38FF">
        <w:rPr>
          <w:rFonts w:asciiTheme="minorHAnsi" w:hAnsiTheme="minorHAnsi"/>
          <w:iCs/>
          <w:sz w:val="22"/>
        </w:rPr>
        <w:t>toe te voegen aan de reserve Organisatieontwikkeling.</w:t>
      </w:r>
    </w:p>
    <w:p w:rsidR="008B73D1" w:rsidP="00D86A66" w:rsidRDefault="00216FDF" w14:paraId="70038210" w14:textId="165FE00C">
      <w:pPr>
        <w:pStyle w:val="Lijstalinea"/>
        <w:numPr>
          <w:ilvl w:val="0"/>
          <w:numId w:val="3"/>
        </w:numPr>
        <w:tabs>
          <w:tab w:val="left" w:pos="-1440"/>
          <w:tab w:val="left" w:pos="709"/>
        </w:tabs>
        <w:outlineLvl w:val="0"/>
        <w:rPr>
          <w:rFonts w:asciiTheme="minorHAnsi" w:hAnsiTheme="minorHAnsi"/>
          <w:i/>
          <w:sz w:val="22"/>
        </w:rPr>
      </w:pPr>
      <w:r>
        <w:rPr>
          <w:rFonts w:asciiTheme="minorHAnsi" w:hAnsiTheme="minorHAnsi"/>
          <w:i/>
          <w:sz w:val="22"/>
        </w:rPr>
        <w:t xml:space="preserve">Kennis te nemen van de verklaring </w:t>
      </w:r>
      <w:r w:rsidR="008B73D1">
        <w:rPr>
          <w:rFonts w:asciiTheme="minorHAnsi" w:hAnsiTheme="minorHAnsi"/>
          <w:i/>
          <w:sz w:val="22"/>
        </w:rPr>
        <w:t xml:space="preserve">rechtmatigheid </w:t>
      </w:r>
      <w:r w:rsidR="00D86A66">
        <w:rPr>
          <w:rFonts w:asciiTheme="minorHAnsi" w:hAnsiTheme="minorHAnsi"/>
          <w:i/>
          <w:sz w:val="22"/>
        </w:rPr>
        <w:t>en</w:t>
      </w:r>
      <w:r w:rsidR="008B73D1">
        <w:rPr>
          <w:rFonts w:asciiTheme="minorHAnsi" w:hAnsiTheme="minorHAnsi"/>
          <w:i/>
          <w:sz w:val="22"/>
        </w:rPr>
        <w:t xml:space="preserve"> de bijlage </w:t>
      </w:r>
      <w:r w:rsidR="00494934">
        <w:rPr>
          <w:rFonts w:asciiTheme="minorHAnsi" w:hAnsiTheme="minorHAnsi"/>
          <w:i/>
          <w:sz w:val="22"/>
        </w:rPr>
        <w:t xml:space="preserve">1 </w:t>
      </w:r>
      <w:r w:rsidR="008B73D1">
        <w:rPr>
          <w:rFonts w:asciiTheme="minorHAnsi" w:hAnsiTheme="minorHAnsi"/>
          <w:i/>
          <w:sz w:val="22"/>
        </w:rPr>
        <w:t>op</w:t>
      </w:r>
      <w:r w:rsidR="00867898">
        <w:rPr>
          <w:rFonts w:asciiTheme="minorHAnsi" w:hAnsiTheme="minorHAnsi"/>
          <w:i/>
          <w:sz w:val="22"/>
        </w:rPr>
        <w:t>genomen rapportage rechtmatigheid;</w:t>
      </w:r>
    </w:p>
    <w:p w:rsidRPr="008B73D1" w:rsidR="00867898" w:rsidP="10A0CB1D" w:rsidRDefault="00867898" w14:paraId="1691E2CF" w14:textId="18EA5483">
      <w:pPr>
        <w:pStyle w:val="Lijstalinea"/>
        <w:numPr>
          <w:ilvl w:val="0"/>
          <w:numId w:val="3"/>
        </w:numPr>
        <w:tabs>
          <w:tab w:val="left" w:leader="none" w:pos="709"/>
        </w:tabs>
        <w:outlineLvl w:val="0"/>
        <w:rPr>
          <w:rFonts w:ascii="Calibri" w:hAnsi="Calibri" w:asciiTheme="minorAscii" w:hAnsiTheme="minorAscii"/>
          <w:i w:val="1"/>
          <w:iCs w:val="1"/>
          <w:sz w:val="22"/>
          <w:szCs w:val="22"/>
        </w:rPr>
      </w:pPr>
      <w:r w:rsidRPr="10A0CB1D" w:rsidR="00867898">
        <w:rPr>
          <w:rFonts w:ascii="Calibri" w:hAnsi="Calibri" w:asciiTheme="minorAscii" w:hAnsiTheme="minorAscii"/>
          <w:i w:val="1"/>
          <w:iCs w:val="1"/>
          <w:sz w:val="22"/>
          <w:szCs w:val="22"/>
        </w:rPr>
        <w:t>Kennis te nemen van het rapport van bevindingen van de accountant</w:t>
      </w:r>
      <w:r w:rsidRPr="10A0CB1D" w:rsidR="40E93707">
        <w:rPr>
          <w:rFonts w:ascii="Calibri" w:hAnsi="Calibri" w:asciiTheme="minorAscii" w:hAnsiTheme="minorAscii"/>
          <w:i w:val="1"/>
          <w:iCs w:val="1"/>
          <w:sz w:val="22"/>
          <w:szCs w:val="22"/>
        </w:rPr>
        <w:t xml:space="preserve">, </w:t>
      </w:r>
      <w:r w:rsidRPr="10A0CB1D" w:rsidR="40E93707">
        <w:rPr>
          <w:rFonts w:ascii="Calibri" w:hAnsi="Calibri" w:asciiTheme="minorAscii" w:hAnsiTheme="minorAscii"/>
          <w:i w:val="1"/>
          <w:iCs w:val="1"/>
          <w:sz w:val="22"/>
          <w:szCs w:val="22"/>
        </w:rPr>
        <w:t>alsmede</w:t>
      </w:r>
      <w:r w:rsidRPr="10A0CB1D" w:rsidR="40E93707">
        <w:rPr>
          <w:rFonts w:ascii="Calibri" w:hAnsi="Calibri" w:asciiTheme="minorAscii" w:hAnsiTheme="minorAscii"/>
          <w:i w:val="1"/>
          <w:iCs w:val="1"/>
          <w:sz w:val="22"/>
          <w:szCs w:val="22"/>
        </w:rPr>
        <w:t xml:space="preserve"> van de accountantsverklaring</w:t>
      </w:r>
      <w:r w:rsidRPr="10A0CB1D" w:rsidR="00867898">
        <w:rPr>
          <w:rFonts w:ascii="Calibri" w:hAnsi="Calibri" w:asciiTheme="minorAscii" w:hAnsiTheme="minorAscii"/>
          <w:i w:val="1"/>
          <w:iCs w:val="1"/>
          <w:sz w:val="22"/>
          <w:szCs w:val="22"/>
        </w:rPr>
        <w:t>.</w:t>
      </w:r>
    </w:p>
    <w:p w:rsidR="005C22E4" w:rsidP="00B742CA" w:rsidRDefault="005C22E4" w14:paraId="4D7CCB87" w14:textId="77777777">
      <w:pPr>
        <w:spacing w:after="0" w:line="240" w:lineRule="auto"/>
        <w:rPr>
          <w:rFonts w:asciiTheme="minorHAnsi" w:hAnsiTheme="minorHAnsi"/>
          <w:b/>
          <w:caps/>
          <w:sz w:val="32"/>
        </w:rPr>
      </w:pPr>
    </w:p>
    <w:p w:rsidRPr="00295CBD" w:rsidR="004F63AE" w:rsidP="00B742CA" w:rsidRDefault="00B742CA" w14:paraId="03CE29EA" w14:textId="2958C4A6">
      <w:pPr>
        <w:spacing w:after="0" w:line="240" w:lineRule="auto"/>
        <w:rPr>
          <w:rFonts w:asciiTheme="minorHAnsi" w:hAnsiTheme="minorHAnsi"/>
          <w:b/>
          <w:caps/>
          <w:sz w:val="28"/>
        </w:rPr>
      </w:pPr>
      <w:r>
        <w:rPr>
          <w:rFonts w:asciiTheme="minorHAnsi" w:hAnsiTheme="minorHAnsi"/>
          <w:b/>
          <w:caps/>
          <w:sz w:val="32"/>
        </w:rPr>
        <w:t>TO</w:t>
      </w:r>
      <w:r w:rsidRPr="00A37670" w:rsidR="004F63AE">
        <w:rPr>
          <w:rFonts w:asciiTheme="minorHAnsi" w:hAnsiTheme="minorHAnsi"/>
          <w:b/>
          <w:caps/>
          <w:sz w:val="32"/>
        </w:rPr>
        <w:t>ELICHTING</w:t>
      </w:r>
    </w:p>
    <w:p w:rsidRPr="00A37670" w:rsidR="004F63AE" w:rsidP="004979C3" w:rsidRDefault="004F63AE" w14:paraId="03CE29EB" w14:textId="77777777">
      <w:pPr>
        <w:tabs>
          <w:tab w:val="left" w:pos="284"/>
        </w:tabs>
        <w:spacing w:after="0"/>
        <w:rPr>
          <w:rFonts w:asciiTheme="minorHAnsi" w:hAnsiTheme="minorHAnsi"/>
          <w:caps/>
          <w:sz w:val="22"/>
        </w:rPr>
      </w:pPr>
    </w:p>
    <w:p w:rsidRPr="00A37670" w:rsidR="004F63AE" w:rsidP="004979C3" w:rsidRDefault="004F63AE" w14:paraId="03CE29EC" w14:textId="77777777">
      <w:pPr>
        <w:pStyle w:val="Kop2"/>
        <w:spacing w:before="0" w:after="0"/>
        <w:rPr>
          <w:rFonts w:asciiTheme="minorHAnsi" w:hAnsiTheme="minorHAnsi"/>
          <w:sz w:val="28"/>
          <w:szCs w:val="22"/>
        </w:rPr>
      </w:pPr>
      <w:r w:rsidRPr="00A37670">
        <w:rPr>
          <w:rFonts w:asciiTheme="minorHAnsi" w:hAnsiTheme="minorHAnsi"/>
          <w:sz w:val="28"/>
          <w:szCs w:val="22"/>
        </w:rPr>
        <w:t>Inleiding</w:t>
      </w:r>
    </w:p>
    <w:p w:rsidRPr="00A37670" w:rsidR="004F63AE" w:rsidP="004979C3" w:rsidRDefault="004F63AE" w14:paraId="03CE29ED" w14:textId="3E528713">
      <w:pPr>
        <w:tabs>
          <w:tab w:val="left" w:pos="-1440"/>
          <w:tab w:val="left" w:pos="1440"/>
        </w:tabs>
        <w:spacing w:after="0"/>
        <w:outlineLvl w:val="0"/>
        <w:rPr>
          <w:rFonts w:asciiTheme="minorHAnsi" w:hAnsiTheme="minorHAnsi"/>
          <w:sz w:val="22"/>
        </w:rPr>
      </w:pPr>
      <w:r w:rsidRPr="00A37670">
        <w:rPr>
          <w:rFonts w:asciiTheme="minorHAnsi" w:hAnsiTheme="minorHAnsi"/>
          <w:sz w:val="22"/>
        </w:rPr>
        <w:t>Hierbij bieden wij u d</w:t>
      </w:r>
      <w:r w:rsidR="00741096">
        <w:rPr>
          <w:rFonts w:asciiTheme="minorHAnsi" w:hAnsiTheme="minorHAnsi"/>
          <w:sz w:val="22"/>
        </w:rPr>
        <w:t xml:space="preserve">e </w:t>
      </w:r>
      <w:r w:rsidR="00621A34">
        <w:rPr>
          <w:rFonts w:asciiTheme="minorHAnsi" w:hAnsiTheme="minorHAnsi"/>
          <w:sz w:val="22"/>
        </w:rPr>
        <w:t>jaarstukken 202</w:t>
      </w:r>
      <w:r w:rsidR="00194512">
        <w:rPr>
          <w:rFonts w:asciiTheme="minorHAnsi" w:hAnsiTheme="minorHAnsi"/>
          <w:sz w:val="22"/>
        </w:rPr>
        <w:t>5</w:t>
      </w:r>
      <w:r w:rsidR="00A60642">
        <w:rPr>
          <w:rFonts w:asciiTheme="minorHAnsi" w:hAnsiTheme="minorHAnsi"/>
          <w:sz w:val="22"/>
        </w:rPr>
        <w:t xml:space="preserve">, </w:t>
      </w:r>
      <w:r w:rsidRPr="00A37670">
        <w:rPr>
          <w:rFonts w:asciiTheme="minorHAnsi" w:hAnsiTheme="minorHAnsi"/>
          <w:sz w:val="22"/>
        </w:rPr>
        <w:t>bestaande uit het jaarverslag, de jaarrekening en de nota reserves en voorzieningen</w:t>
      </w:r>
      <w:r w:rsidR="00A60642">
        <w:rPr>
          <w:rFonts w:asciiTheme="minorHAnsi" w:hAnsiTheme="minorHAnsi"/>
          <w:sz w:val="22"/>
        </w:rPr>
        <w:t>,</w:t>
      </w:r>
      <w:r w:rsidRPr="007D1267" w:rsidR="007D1267">
        <w:rPr>
          <w:rFonts w:asciiTheme="minorHAnsi" w:hAnsiTheme="minorHAnsi"/>
          <w:sz w:val="22"/>
        </w:rPr>
        <w:t xml:space="preserve"> </w:t>
      </w:r>
      <w:r w:rsidR="007D1267">
        <w:rPr>
          <w:rFonts w:asciiTheme="minorHAnsi" w:hAnsiTheme="minorHAnsi"/>
          <w:sz w:val="22"/>
        </w:rPr>
        <w:t>ter vaststelling aan</w:t>
      </w:r>
      <w:r w:rsidRPr="00A37670">
        <w:rPr>
          <w:rFonts w:asciiTheme="minorHAnsi" w:hAnsiTheme="minorHAnsi"/>
          <w:sz w:val="22"/>
        </w:rPr>
        <w:t>. Tevens bieden wij u ter informatie  de accountantsverklaring</w:t>
      </w:r>
      <w:r w:rsidR="00621A34">
        <w:rPr>
          <w:rFonts w:asciiTheme="minorHAnsi" w:hAnsiTheme="minorHAnsi"/>
          <w:sz w:val="22"/>
        </w:rPr>
        <w:t xml:space="preserve"> 202</w:t>
      </w:r>
      <w:r w:rsidR="00194512">
        <w:rPr>
          <w:rFonts w:asciiTheme="minorHAnsi" w:hAnsiTheme="minorHAnsi"/>
          <w:sz w:val="22"/>
        </w:rPr>
        <w:t>5</w:t>
      </w:r>
      <w:r w:rsidR="00B875D9">
        <w:rPr>
          <w:rFonts w:asciiTheme="minorHAnsi" w:hAnsiTheme="minorHAnsi"/>
          <w:sz w:val="22"/>
        </w:rPr>
        <w:t xml:space="preserve"> en het bijbehorende rapport van bevindingen</w:t>
      </w:r>
      <w:r w:rsidR="0060656D">
        <w:rPr>
          <w:rFonts w:asciiTheme="minorHAnsi" w:hAnsiTheme="minorHAnsi"/>
          <w:sz w:val="22"/>
        </w:rPr>
        <w:t xml:space="preserve"> </w:t>
      </w:r>
      <w:r w:rsidR="00115B7B">
        <w:rPr>
          <w:rFonts w:asciiTheme="minorHAnsi" w:hAnsiTheme="minorHAnsi"/>
          <w:sz w:val="22"/>
        </w:rPr>
        <w:t>aan.</w:t>
      </w:r>
    </w:p>
    <w:p w:rsidR="00772FCA" w:rsidP="00772FCA" w:rsidRDefault="00772FCA" w14:paraId="447DAEB0" w14:textId="05142BB3">
      <w:pPr>
        <w:spacing w:after="0" w:line="240" w:lineRule="auto"/>
        <w:rPr>
          <w:rFonts w:asciiTheme="minorHAnsi" w:hAnsiTheme="minorHAnsi"/>
          <w:b/>
          <w:sz w:val="22"/>
        </w:rPr>
      </w:pPr>
    </w:p>
    <w:p w:rsidRPr="00A37670" w:rsidR="00D01CD7" w:rsidP="00D01CD7" w:rsidRDefault="00D01CD7" w14:paraId="3B081B12" w14:textId="62348780">
      <w:pPr>
        <w:pStyle w:val="Kop2"/>
        <w:spacing w:before="0" w:after="0"/>
        <w:rPr>
          <w:rFonts w:asciiTheme="minorHAnsi" w:hAnsiTheme="minorHAnsi"/>
          <w:sz w:val="28"/>
          <w:szCs w:val="22"/>
        </w:rPr>
      </w:pPr>
      <w:r>
        <w:rPr>
          <w:rFonts w:asciiTheme="minorHAnsi" w:hAnsiTheme="minorHAnsi"/>
          <w:sz w:val="28"/>
          <w:szCs w:val="22"/>
        </w:rPr>
        <w:t>Argumenten</w:t>
      </w:r>
    </w:p>
    <w:p w:rsidRPr="00D01CD7" w:rsidR="00772FCA" w:rsidP="00D01CD7" w:rsidRDefault="00772FCA" w14:paraId="60CD713A" w14:textId="06A31FD0">
      <w:pPr>
        <w:spacing w:after="0" w:line="240" w:lineRule="auto"/>
        <w:rPr>
          <w:rFonts w:asciiTheme="minorHAnsi" w:hAnsiTheme="minorHAnsi"/>
          <w:b/>
          <w:caps/>
          <w:sz w:val="28"/>
        </w:rPr>
      </w:pPr>
    </w:p>
    <w:p w:rsidR="00DC1E55" w:rsidP="00DC1E55" w:rsidRDefault="0057605F" w14:paraId="72EE3CF7" w14:textId="664DE73D">
      <w:pPr>
        <w:tabs>
          <w:tab w:val="left" w:pos="-1440"/>
          <w:tab w:val="left" w:pos="1440"/>
        </w:tabs>
        <w:spacing w:after="0"/>
        <w:outlineLvl w:val="0"/>
        <w:rPr>
          <w:rFonts w:asciiTheme="minorHAnsi" w:hAnsiTheme="minorHAnsi"/>
          <w:b/>
          <w:bCs/>
          <w:sz w:val="22"/>
        </w:rPr>
      </w:pPr>
      <w:r>
        <w:rPr>
          <w:rFonts w:asciiTheme="minorHAnsi" w:hAnsiTheme="minorHAnsi"/>
          <w:b/>
          <w:bCs/>
          <w:sz w:val="22"/>
        </w:rPr>
        <w:t>Ad</w:t>
      </w:r>
      <w:r w:rsidR="00DC1E55">
        <w:rPr>
          <w:rFonts w:asciiTheme="minorHAnsi" w:hAnsiTheme="minorHAnsi"/>
          <w:b/>
          <w:bCs/>
          <w:sz w:val="22"/>
        </w:rPr>
        <w:t xml:space="preserve"> 1</w:t>
      </w:r>
      <w:r w:rsidR="003B18B4">
        <w:rPr>
          <w:rFonts w:asciiTheme="minorHAnsi" w:hAnsiTheme="minorHAnsi"/>
          <w:b/>
          <w:bCs/>
          <w:sz w:val="22"/>
        </w:rPr>
        <w:t>.</w:t>
      </w:r>
      <w:r w:rsidR="00DC1E55">
        <w:rPr>
          <w:rFonts w:asciiTheme="minorHAnsi" w:hAnsiTheme="minorHAnsi"/>
          <w:b/>
          <w:bCs/>
          <w:sz w:val="22"/>
        </w:rPr>
        <w:t xml:space="preserve"> </w:t>
      </w:r>
      <w:r w:rsidRPr="00E4067D" w:rsidR="00741096">
        <w:rPr>
          <w:rFonts w:asciiTheme="minorHAnsi" w:hAnsiTheme="minorHAnsi"/>
          <w:b/>
          <w:bCs/>
          <w:sz w:val="22"/>
        </w:rPr>
        <w:t>Vaststellen jaarverslag en jaarrekening 202</w:t>
      </w:r>
      <w:r w:rsidR="00194512">
        <w:rPr>
          <w:rFonts w:asciiTheme="minorHAnsi" w:hAnsiTheme="minorHAnsi"/>
          <w:b/>
          <w:bCs/>
          <w:sz w:val="22"/>
        </w:rPr>
        <w:t>5</w:t>
      </w:r>
    </w:p>
    <w:p w:rsidRPr="00DC1E55" w:rsidR="00E4067D" w:rsidP="00E4067D" w:rsidRDefault="00E4067D" w14:paraId="143839A2" w14:textId="1DEEF308">
      <w:pPr>
        <w:tabs>
          <w:tab w:val="left" w:pos="-1440"/>
          <w:tab w:val="left" w:pos="1440"/>
        </w:tabs>
        <w:outlineLvl w:val="0"/>
        <w:rPr>
          <w:rFonts w:asciiTheme="minorHAnsi" w:hAnsiTheme="minorHAnsi"/>
          <w:b/>
          <w:bCs/>
          <w:sz w:val="22"/>
        </w:rPr>
      </w:pPr>
      <w:r>
        <w:rPr>
          <w:rFonts w:asciiTheme="minorHAnsi" w:hAnsiTheme="minorHAnsi"/>
          <w:sz w:val="22"/>
        </w:rPr>
        <w:t xml:space="preserve">Op grond van artikel 7 van de gemeenschappelijke regeling </w:t>
      </w:r>
      <w:r w:rsidR="00BD5D90">
        <w:rPr>
          <w:rFonts w:asciiTheme="minorHAnsi" w:hAnsiTheme="minorHAnsi"/>
          <w:sz w:val="22"/>
        </w:rPr>
        <w:t>GGD Drenthe ligt de bevoegdheid voor het vaststellen van het jaarverslag en de jaarrekening bij het algemeen bestuur.</w:t>
      </w:r>
    </w:p>
    <w:p w:rsidR="008300D2" w:rsidP="008300D2" w:rsidRDefault="0057605F" w14:paraId="31F0CEFC" w14:textId="187C689A">
      <w:pPr>
        <w:tabs>
          <w:tab w:val="left" w:pos="-1440"/>
          <w:tab w:val="left" w:pos="284"/>
        </w:tabs>
        <w:spacing w:after="0"/>
        <w:outlineLvl w:val="0"/>
        <w:rPr>
          <w:rFonts w:asciiTheme="minorHAnsi" w:hAnsiTheme="minorHAnsi"/>
          <w:b/>
          <w:sz w:val="22"/>
        </w:rPr>
      </w:pPr>
      <w:r>
        <w:rPr>
          <w:rFonts w:asciiTheme="minorHAnsi" w:hAnsiTheme="minorHAnsi"/>
          <w:b/>
          <w:sz w:val="22"/>
        </w:rPr>
        <w:t>Ad</w:t>
      </w:r>
      <w:r w:rsidR="00DC1E55">
        <w:rPr>
          <w:rFonts w:asciiTheme="minorHAnsi" w:hAnsiTheme="minorHAnsi"/>
          <w:b/>
          <w:sz w:val="22"/>
        </w:rPr>
        <w:t xml:space="preserve"> 2.</w:t>
      </w:r>
      <w:r w:rsidR="003B18B4">
        <w:rPr>
          <w:rFonts w:asciiTheme="minorHAnsi" w:hAnsiTheme="minorHAnsi"/>
          <w:b/>
          <w:sz w:val="22"/>
        </w:rPr>
        <w:t xml:space="preserve"> </w:t>
      </w:r>
      <w:r w:rsidR="008300D2">
        <w:rPr>
          <w:rFonts w:asciiTheme="minorHAnsi" w:hAnsiTheme="minorHAnsi"/>
          <w:b/>
          <w:sz w:val="22"/>
        </w:rPr>
        <w:t>Egalisatiereserve</w:t>
      </w:r>
    </w:p>
    <w:p w:rsidR="008300D2" w:rsidP="00AF18E7" w:rsidRDefault="00AF18E7" w14:paraId="5C9D9B0E" w14:textId="79B9B6CC">
      <w:pPr>
        <w:rPr>
          <w:rFonts w:asciiTheme="minorHAnsi" w:hAnsiTheme="minorHAnsi"/>
          <w:sz w:val="22"/>
        </w:rPr>
      </w:pPr>
      <w:r>
        <w:rPr>
          <w:rFonts w:asciiTheme="minorHAnsi" w:hAnsiTheme="minorHAnsi"/>
          <w:sz w:val="22"/>
        </w:rPr>
        <w:t xml:space="preserve">In de afgelopen jaren hebben we een egalisatiereserve gevormd voor Epidemiologische onderzoeken, Infectieziekten-bestrijding, Publieke Gezondheid Asielzoekers, Forensische </w:t>
      </w:r>
      <w:r w:rsidR="00FC3B2D">
        <w:rPr>
          <w:rFonts w:asciiTheme="minorHAnsi" w:hAnsiTheme="minorHAnsi"/>
          <w:sz w:val="22"/>
        </w:rPr>
        <w:t>G</w:t>
      </w:r>
      <w:r>
        <w:rPr>
          <w:rFonts w:asciiTheme="minorHAnsi" w:hAnsiTheme="minorHAnsi"/>
          <w:sz w:val="22"/>
        </w:rPr>
        <w:t>eneeskunde en Technische Hygiëne Zorg. Bij nader inzien was dit o</w:t>
      </w:r>
      <w:r w:rsidRPr="008300D2" w:rsidR="008300D2">
        <w:rPr>
          <w:rFonts w:asciiTheme="minorHAnsi" w:hAnsiTheme="minorHAnsi"/>
          <w:sz w:val="22"/>
        </w:rPr>
        <w:t xml:space="preserve">p grond van het Besluit begroting en verantwoording provincies en gemeente (BBV) </w:t>
      </w:r>
      <w:r>
        <w:rPr>
          <w:rFonts w:asciiTheme="minorHAnsi" w:hAnsiTheme="minorHAnsi"/>
          <w:sz w:val="22"/>
        </w:rPr>
        <w:t xml:space="preserve">in </w:t>
      </w:r>
      <w:r w:rsidRPr="008300D2" w:rsidR="008300D2">
        <w:rPr>
          <w:rFonts w:asciiTheme="minorHAnsi" w:hAnsiTheme="minorHAnsi"/>
          <w:sz w:val="22"/>
        </w:rPr>
        <w:t>deze vorm van kostenegalisatie niet toegestaan.</w:t>
      </w:r>
      <w:r>
        <w:rPr>
          <w:rFonts w:asciiTheme="minorHAnsi" w:hAnsiTheme="minorHAnsi"/>
          <w:sz w:val="22"/>
        </w:rPr>
        <w:t xml:space="preserve"> </w:t>
      </w:r>
      <w:r w:rsidRPr="008300D2" w:rsidR="008300D2">
        <w:rPr>
          <w:rFonts w:asciiTheme="minorHAnsi" w:hAnsiTheme="minorHAnsi"/>
          <w:sz w:val="22"/>
        </w:rPr>
        <w:t>Het BBV schrijft voor dat baten en lasten moeten worden toegerekend aan het jaar waarop zij betrekking hebben (artikel 59). Daarnaast past deze egalisatiereserve niet binnen de toegestane vormen van reserves of voorzieningen zoals omschreven in de artikelen 43 en 44 BBV. Alleen bij specifieke verplichtingen, risico's of planmatig onderhoud mag een voorziening worden gevormd; voor overige exploitatie-uitgaven ontbreekt een wettelijke grondslag.</w:t>
      </w:r>
      <w:r>
        <w:rPr>
          <w:rFonts w:asciiTheme="minorHAnsi" w:hAnsiTheme="minorHAnsi"/>
          <w:sz w:val="22"/>
        </w:rPr>
        <w:t xml:space="preserve"> </w:t>
      </w:r>
      <w:r w:rsidRPr="008300D2" w:rsidR="008300D2">
        <w:rPr>
          <w:rFonts w:asciiTheme="minorHAnsi" w:hAnsiTheme="minorHAnsi"/>
          <w:sz w:val="22"/>
        </w:rPr>
        <w:t xml:space="preserve">De </w:t>
      </w:r>
      <w:r>
        <w:rPr>
          <w:rFonts w:asciiTheme="minorHAnsi" w:hAnsiTheme="minorHAnsi"/>
          <w:sz w:val="22"/>
        </w:rPr>
        <w:t xml:space="preserve">gevormde </w:t>
      </w:r>
      <w:r w:rsidRPr="008300D2" w:rsidR="008300D2">
        <w:rPr>
          <w:rFonts w:asciiTheme="minorHAnsi" w:hAnsiTheme="minorHAnsi"/>
          <w:sz w:val="22"/>
        </w:rPr>
        <w:t>egalisatiereserve</w:t>
      </w:r>
      <w:r>
        <w:rPr>
          <w:rFonts w:asciiTheme="minorHAnsi" w:hAnsiTheme="minorHAnsi"/>
          <w:sz w:val="22"/>
        </w:rPr>
        <w:t>s</w:t>
      </w:r>
      <w:r w:rsidRPr="008300D2" w:rsidR="008300D2">
        <w:rPr>
          <w:rFonts w:asciiTheme="minorHAnsi" w:hAnsiTheme="minorHAnsi"/>
          <w:sz w:val="22"/>
        </w:rPr>
        <w:t xml:space="preserve"> z</w:t>
      </w:r>
      <w:r>
        <w:rPr>
          <w:rFonts w:asciiTheme="minorHAnsi" w:hAnsiTheme="minorHAnsi"/>
          <w:sz w:val="22"/>
        </w:rPr>
        <w:t>ullen daarom worden herzien. Voorstel is om het saldo over te hevelen naar de reserve voor de organisatieontwikkeling.</w:t>
      </w:r>
      <w:r w:rsidR="0057605F">
        <w:rPr>
          <w:rFonts w:asciiTheme="minorHAnsi" w:hAnsiTheme="minorHAnsi"/>
          <w:sz w:val="22"/>
        </w:rPr>
        <w:t xml:space="preserve"> Verdere toelichting hierop leest u hieronder, onder Ad 3. Reserve organisatieontwikkeling.</w:t>
      </w:r>
      <w:r w:rsidR="003B18B4">
        <w:rPr>
          <w:rFonts w:asciiTheme="minorHAnsi" w:hAnsiTheme="minorHAnsi"/>
          <w:sz w:val="22"/>
        </w:rPr>
        <w:t xml:space="preserve"> </w:t>
      </w:r>
    </w:p>
    <w:p w:rsidR="0057605F" w:rsidP="00AF18E7" w:rsidRDefault="0057605F" w14:paraId="20C56F56" w14:textId="77777777">
      <w:pPr>
        <w:rPr>
          <w:rFonts w:asciiTheme="minorHAnsi" w:hAnsiTheme="minorHAnsi"/>
          <w:sz w:val="22"/>
        </w:rPr>
      </w:pPr>
    </w:p>
    <w:p w:rsidR="0057605F" w:rsidP="00AF18E7" w:rsidRDefault="0057605F" w14:paraId="0F500247" w14:textId="77777777">
      <w:pPr>
        <w:rPr>
          <w:rFonts w:asciiTheme="minorHAnsi" w:hAnsiTheme="minorHAnsi"/>
          <w:sz w:val="22"/>
        </w:rPr>
      </w:pPr>
    </w:p>
    <w:p w:rsidR="0057605F" w:rsidP="00AF18E7" w:rsidRDefault="0057605F" w14:paraId="7E9F178C" w14:textId="77777777">
      <w:pPr>
        <w:rPr>
          <w:rFonts w:asciiTheme="minorHAnsi" w:hAnsiTheme="minorHAnsi"/>
          <w:sz w:val="22"/>
        </w:rPr>
      </w:pPr>
    </w:p>
    <w:p w:rsidR="0057605F" w:rsidP="00AF18E7" w:rsidRDefault="0057605F" w14:paraId="06A21730" w14:textId="77777777">
      <w:pPr>
        <w:rPr>
          <w:rFonts w:asciiTheme="minorHAnsi" w:hAnsiTheme="minorHAnsi"/>
          <w:sz w:val="22"/>
        </w:rPr>
      </w:pPr>
    </w:p>
    <w:p w:rsidR="0057605F" w:rsidP="0057605F" w:rsidRDefault="0057605F" w14:paraId="47AAADEF" w14:textId="77777777">
      <w:pPr>
        <w:spacing w:after="0"/>
        <w:rPr>
          <w:rFonts w:asciiTheme="minorHAnsi" w:hAnsiTheme="minorHAnsi"/>
          <w:b/>
          <w:bCs/>
          <w:sz w:val="22"/>
        </w:rPr>
      </w:pPr>
      <w:r>
        <w:rPr>
          <w:rFonts w:asciiTheme="minorHAnsi" w:hAnsiTheme="minorHAnsi"/>
          <w:b/>
          <w:bCs/>
          <w:sz w:val="22"/>
        </w:rPr>
        <w:lastRenderedPageBreak/>
        <w:t xml:space="preserve">Ad 3. </w:t>
      </w:r>
      <w:r w:rsidRPr="00AF18E7" w:rsidR="00AF18E7">
        <w:rPr>
          <w:rFonts w:asciiTheme="minorHAnsi" w:hAnsiTheme="minorHAnsi"/>
          <w:b/>
          <w:bCs/>
          <w:sz w:val="22"/>
        </w:rPr>
        <w:t>Reserve organisatieontwikkeling</w:t>
      </w:r>
    </w:p>
    <w:p w:rsidRPr="0057605F" w:rsidR="00AF18E7" w:rsidP="00AF18E7" w:rsidRDefault="00AF18E7" w14:paraId="4C36185D" w14:textId="333884EA">
      <w:pPr>
        <w:rPr>
          <w:rFonts w:asciiTheme="minorHAnsi" w:hAnsiTheme="minorHAnsi"/>
          <w:b/>
          <w:bCs/>
          <w:sz w:val="22"/>
        </w:rPr>
      </w:pPr>
      <w:r>
        <w:rPr>
          <w:rFonts w:asciiTheme="minorHAnsi" w:hAnsiTheme="minorHAnsi"/>
          <w:sz w:val="22"/>
        </w:rPr>
        <w:t>De activiteiten voor JGZ in flow en Governance Zorg en Veiligheid Drenthe zijn</w:t>
      </w:r>
      <w:r w:rsidR="00C97131">
        <w:rPr>
          <w:rFonts w:asciiTheme="minorHAnsi" w:hAnsiTheme="minorHAnsi"/>
          <w:sz w:val="22"/>
        </w:rPr>
        <w:t xml:space="preserve"> in 2025 </w:t>
      </w:r>
      <w:r>
        <w:rPr>
          <w:rFonts w:asciiTheme="minorHAnsi" w:hAnsiTheme="minorHAnsi"/>
          <w:sz w:val="22"/>
        </w:rPr>
        <w:t>afgerond</w:t>
      </w:r>
      <w:r w:rsidR="00C97131">
        <w:rPr>
          <w:rFonts w:asciiTheme="minorHAnsi" w:hAnsiTheme="minorHAnsi"/>
          <w:sz w:val="22"/>
        </w:rPr>
        <w:t xml:space="preserve"> binnen de beschikbaar gestelde budgetten. </w:t>
      </w:r>
      <w:r w:rsidR="00FC3B2D">
        <w:rPr>
          <w:rFonts w:asciiTheme="minorHAnsi" w:hAnsiTheme="minorHAnsi"/>
          <w:sz w:val="22"/>
        </w:rPr>
        <w:t>Er resteert een saldo dat we</w:t>
      </w:r>
      <w:r w:rsidR="005C7A81">
        <w:rPr>
          <w:rFonts w:asciiTheme="minorHAnsi" w:hAnsiTheme="minorHAnsi"/>
          <w:sz w:val="22"/>
        </w:rPr>
        <w:t>, samen met de onder Ad 2.1. benoemde middelen</w:t>
      </w:r>
      <w:r w:rsidR="003B18B4">
        <w:rPr>
          <w:rFonts w:asciiTheme="minorHAnsi" w:hAnsiTheme="minorHAnsi"/>
          <w:sz w:val="22"/>
        </w:rPr>
        <w:t xml:space="preserve"> (en nog onder Ad 5 te benoemen middelen)</w:t>
      </w:r>
      <w:r w:rsidR="005C7A81">
        <w:rPr>
          <w:rFonts w:asciiTheme="minorHAnsi" w:hAnsiTheme="minorHAnsi"/>
          <w:sz w:val="22"/>
        </w:rPr>
        <w:t>,</w:t>
      </w:r>
      <w:r w:rsidR="00FC3B2D">
        <w:rPr>
          <w:rFonts w:asciiTheme="minorHAnsi" w:hAnsiTheme="minorHAnsi"/>
          <w:sz w:val="22"/>
        </w:rPr>
        <w:t xml:space="preserve"> in willen zetten </w:t>
      </w:r>
      <w:r w:rsidR="0057605F">
        <w:rPr>
          <w:rFonts w:asciiTheme="minorHAnsi" w:hAnsiTheme="minorHAnsi"/>
          <w:sz w:val="22"/>
        </w:rPr>
        <w:t xml:space="preserve">op het </w:t>
      </w:r>
      <w:r w:rsidR="00FC3B2D">
        <w:rPr>
          <w:rFonts w:asciiTheme="minorHAnsi" w:hAnsiTheme="minorHAnsi"/>
          <w:sz w:val="22"/>
        </w:rPr>
        <w:t>organisatieontwikkeling</w:t>
      </w:r>
      <w:r w:rsidR="0057605F">
        <w:rPr>
          <w:rFonts w:asciiTheme="minorHAnsi" w:hAnsiTheme="minorHAnsi"/>
          <w:sz w:val="22"/>
        </w:rPr>
        <w:t>sproces dat wij in 202</w:t>
      </w:r>
      <w:r w:rsidR="001D0F40">
        <w:rPr>
          <w:rFonts w:asciiTheme="minorHAnsi" w:hAnsiTheme="minorHAnsi"/>
          <w:sz w:val="22"/>
        </w:rPr>
        <w:t xml:space="preserve">5 gestart zijn en de komende jaren willen voortzetten om onze organisatie in het kader van de gemeenschappelijke regeling SamenDrenthe en de daarin belegde taken te richten en verder door te ontwikkelen. Ook om de noodzakelijke samenwerking op het gebied van de AGZ met de twee andere noordelijke GGD-en mogelijk te maken zijn organisatieontwikkelingsmiddelen nodig. </w:t>
      </w:r>
      <w:r w:rsidR="005C7A81">
        <w:rPr>
          <w:rFonts w:asciiTheme="minorHAnsi" w:hAnsiTheme="minorHAnsi"/>
          <w:sz w:val="22"/>
        </w:rPr>
        <w:t xml:space="preserve">Aangezien binnen onze begroting geen structurele middelen beschikbaar zijn voor organisatieontwikkeling kunnen wij op deze wijze in 2026 de ingezette </w:t>
      </w:r>
      <w:r w:rsidR="003B18B4">
        <w:rPr>
          <w:rFonts w:asciiTheme="minorHAnsi" w:hAnsiTheme="minorHAnsi"/>
          <w:sz w:val="22"/>
        </w:rPr>
        <w:t xml:space="preserve">en noodzakelijke </w:t>
      </w:r>
      <w:r w:rsidR="005C7A81">
        <w:rPr>
          <w:rFonts w:asciiTheme="minorHAnsi" w:hAnsiTheme="minorHAnsi"/>
          <w:sz w:val="22"/>
        </w:rPr>
        <w:t xml:space="preserve">ontwikkeltrajecten continueren.   </w:t>
      </w:r>
    </w:p>
    <w:p w:rsidR="005702DF" w:rsidP="005702DF" w:rsidRDefault="005C7A81" w14:paraId="2C523279" w14:textId="4BE9F8D3">
      <w:pPr>
        <w:tabs>
          <w:tab w:val="left" w:pos="-1440"/>
          <w:tab w:val="left" w:pos="284"/>
        </w:tabs>
        <w:spacing w:after="0"/>
        <w:outlineLvl w:val="0"/>
        <w:rPr>
          <w:rFonts w:asciiTheme="minorHAnsi" w:hAnsiTheme="minorHAnsi"/>
          <w:b/>
          <w:sz w:val="22"/>
        </w:rPr>
      </w:pPr>
      <w:r>
        <w:rPr>
          <w:rFonts w:asciiTheme="minorHAnsi" w:hAnsiTheme="minorHAnsi"/>
          <w:b/>
          <w:sz w:val="22"/>
        </w:rPr>
        <w:t xml:space="preserve">Ad 4. </w:t>
      </w:r>
      <w:r w:rsidR="005702DF">
        <w:rPr>
          <w:rFonts w:asciiTheme="minorHAnsi" w:hAnsiTheme="minorHAnsi"/>
          <w:b/>
          <w:sz w:val="22"/>
        </w:rPr>
        <w:t>Res</w:t>
      </w:r>
      <w:r w:rsidR="003E5B3F">
        <w:rPr>
          <w:rFonts w:asciiTheme="minorHAnsi" w:hAnsiTheme="minorHAnsi"/>
          <w:b/>
          <w:sz w:val="22"/>
        </w:rPr>
        <w:t>ultaat Jeugdgezondheidszorg Oekraïne</w:t>
      </w:r>
    </w:p>
    <w:p w:rsidR="00FE66A9" w:rsidP="000027D7" w:rsidRDefault="004F276E" w14:paraId="63F5032C" w14:textId="1E19E53F">
      <w:pPr>
        <w:tabs>
          <w:tab w:val="left" w:pos="-1440"/>
          <w:tab w:val="left" w:pos="1440"/>
        </w:tabs>
        <w:spacing w:after="0"/>
        <w:outlineLvl w:val="0"/>
        <w:rPr>
          <w:rFonts w:asciiTheme="minorHAnsi" w:hAnsiTheme="minorHAnsi"/>
          <w:sz w:val="22"/>
        </w:rPr>
      </w:pPr>
      <w:r>
        <w:rPr>
          <w:rFonts w:asciiTheme="minorHAnsi" w:hAnsiTheme="minorHAnsi"/>
          <w:sz w:val="22"/>
        </w:rPr>
        <w:t xml:space="preserve">Door een sterke daling van de instroom is het aantal nieuwe dossiers JGZ </w:t>
      </w:r>
      <w:r w:rsidR="00F857B9">
        <w:rPr>
          <w:rFonts w:asciiTheme="minorHAnsi" w:hAnsiTheme="minorHAnsi"/>
          <w:sz w:val="22"/>
        </w:rPr>
        <w:t>Oekraïne</w:t>
      </w:r>
      <w:r>
        <w:rPr>
          <w:rFonts w:asciiTheme="minorHAnsi" w:hAnsiTheme="minorHAnsi"/>
          <w:sz w:val="22"/>
        </w:rPr>
        <w:t xml:space="preserve"> sterk afgenomen. Dit heeft ertoe geleid dat het projectteam JGZ </w:t>
      </w:r>
      <w:r w:rsidR="00F857B9">
        <w:rPr>
          <w:rFonts w:asciiTheme="minorHAnsi" w:hAnsiTheme="minorHAnsi"/>
          <w:sz w:val="22"/>
        </w:rPr>
        <w:t>Oekraïne</w:t>
      </w:r>
      <w:r>
        <w:rPr>
          <w:rFonts w:asciiTheme="minorHAnsi" w:hAnsiTheme="minorHAnsi"/>
          <w:sz w:val="22"/>
        </w:rPr>
        <w:t xml:space="preserve"> per 1 juli </w:t>
      </w:r>
      <w:r w:rsidR="005C7A81">
        <w:rPr>
          <w:rFonts w:asciiTheme="minorHAnsi" w:hAnsiTheme="minorHAnsi"/>
          <w:sz w:val="22"/>
        </w:rPr>
        <w:t>2025</w:t>
      </w:r>
      <w:r>
        <w:rPr>
          <w:rFonts w:asciiTheme="minorHAnsi" w:hAnsiTheme="minorHAnsi"/>
          <w:sz w:val="22"/>
        </w:rPr>
        <w:t xml:space="preserve"> is opgeheven. Binnenkomende dossiers worden binnen de reguliere JGZ opgevangen. In de 4- en 8-maands is hierover uitgebreid gerapporteerd. Per saldo blijft er € </w:t>
      </w:r>
      <w:r w:rsidR="0008691F">
        <w:rPr>
          <w:rFonts w:asciiTheme="minorHAnsi" w:hAnsiTheme="minorHAnsi"/>
          <w:sz w:val="22"/>
        </w:rPr>
        <w:t>202.000, =</w:t>
      </w:r>
      <w:r>
        <w:rPr>
          <w:rFonts w:asciiTheme="minorHAnsi" w:hAnsiTheme="minorHAnsi"/>
          <w:sz w:val="22"/>
        </w:rPr>
        <w:t xml:space="preserve"> op het ter beschikbare gestelde budget over. Volgens afspraak vloeit dit terug naar de gemeenten.</w:t>
      </w:r>
    </w:p>
    <w:p w:rsidR="000C5592" w:rsidP="000C5592" w:rsidRDefault="000C5592" w14:paraId="61038BDD" w14:textId="77777777">
      <w:pPr>
        <w:tabs>
          <w:tab w:val="left" w:pos="-1440"/>
          <w:tab w:val="left" w:pos="1440"/>
        </w:tabs>
        <w:spacing w:after="0"/>
        <w:outlineLvl w:val="0"/>
        <w:rPr>
          <w:rFonts w:asciiTheme="minorHAnsi" w:hAnsiTheme="minorHAnsi"/>
          <w:sz w:val="22"/>
        </w:rPr>
      </w:pPr>
    </w:p>
    <w:p w:rsidR="003B18B4" w:rsidP="003B18B4" w:rsidRDefault="003B18B4" w14:paraId="2E950E22" w14:textId="77777777">
      <w:pPr>
        <w:tabs>
          <w:tab w:val="left" w:pos="-1440"/>
          <w:tab w:val="left" w:pos="1440"/>
        </w:tabs>
        <w:spacing w:after="0"/>
        <w:outlineLvl w:val="0"/>
        <w:rPr>
          <w:rFonts w:asciiTheme="minorHAnsi" w:hAnsiTheme="minorHAnsi"/>
          <w:b/>
          <w:bCs/>
          <w:sz w:val="22"/>
        </w:rPr>
      </w:pPr>
      <w:r>
        <w:rPr>
          <w:rFonts w:asciiTheme="minorHAnsi" w:hAnsiTheme="minorHAnsi"/>
          <w:b/>
          <w:bCs/>
          <w:sz w:val="22"/>
        </w:rPr>
        <w:t>Ad 5. Re</w:t>
      </w:r>
      <w:r w:rsidR="00BD5D90">
        <w:rPr>
          <w:rFonts w:asciiTheme="minorHAnsi" w:hAnsiTheme="minorHAnsi"/>
          <w:b/>
          <w:bCs/>
          <w:sz w:val="22"/>
        </w:rPr>
        <w:t>sultaat</w:t>
      </w:r>
    </w:p>
    <w:p w:rsidRPr="003B18B4" w:rsidR="00BA38FF" w:rsidP="2FCF6D18" w:rsidRDefault="00165178" w14:paraId="13C6B242" w14:textId="2DA809AA">
      <w:pPr>
        <w:tabs>
          <w:tab w:val="left" w:pos="1440"/>
        </w:tabs>
        <w:outlineLvl w:val="0"/>
        <w:rPr>
          <w:rFonts w:asciiTheme="minorHAnsi" w:hAnsiTheme="minorHAnsi"/>
          <w:sz w:val="22"/>
        </w:rPr>
      </w:pPr>
      <w:r w:rsidRPr="2FCF6D18">
        <w:rPr>
          <w:rFonts w:asciiTheme="minorHAnsi" w:hAnsiTheme="minorHAnsi"/>
          <w:sz w:val="22"/>
        </w:rPr>
        <w:t>Het financiële resultaat over 202</w:t>
      </w:r>
      <w:r w:rsidRPr="2FCF6D18" w:rsidR="00BA38FF">
        <w:rPr>
          <w:rFonts w:asciiTheme="minorHAnsi" w:hAnsiTheme="minorHAnsi"/>
          <w:sz w:val="22"/>
        </w:rPr>
        <w:t>5</w:t>
      </w:r>
      <w:r w:rsidRPr="2FCF6D18">
        <w:rPr>
          <w:rFonts w:asciiTheme="minorHAnsi" w:hAnsiTheme="minorHAnsi"/>
          <w:sz w:val="22"/>
        </w:rPr>
        <w:t xml:space="preserve"> bedraagt € </w:t>
      </w:r>
      <w:r w:rsidRPr="2FCF6D18" w:rsidR="0008691F">
        <w:rPr>
          <w:rFonts w:asciiTheme="minorHAnsi" w:hAnsiTheme="minorHAnsi"/>
          <w:sz w:val="22"/>
        </w:rPr>
        <w:t>67.000, =</w:t>
      </w:r>
      <w:r w:rsidRPr="2FCF6D18">
        <w:rPr>
          <w:rFonts w:asciiTheme="minorHAnsi" w:hAnsiTheme="minorHAnsi"/>
          <w:sz w:val="22"/>
        </w:rPr>
        <w:t xml:space="preserve">. </w:t>
      </w:r>
      <w:r w:rsidRPr="2FCF6D18" w:rsidR="00D86A66">
        <w:rPr>
          <w:rFonts w:asciiTheme="minorHAnsi" w:hAnsiTheme="minorHAnsi"/>
          <w:sz w:val="22"/>
        </w:rPr>
        <w:t xml:space="preserve"> </w:t>
      </w:r>
      <w:r w:rsidRPr="2FCF6D18" w:rsidR="00BA38FF">
        <w:rPr>
          <w:rFonts w:asciiTheme="minorHAnsi" w:hAnsiTheme="minorHAnsi"/>
          <w:sz w:val="22"/>
        </w:rPr>
        <w:t xml:space="preserve">Dit is inclusief een resultaat van € </w:t>
      </w:r>
      <w:r w:rsidRPr="2FCF6D18" w:rsidR="0008691F">
        <w:rPr>
          <w:rFonts w:asciiTheme="minorHAnsi" w:hAnsiTheme="minorHAnsi"/>
          <w:sz w:val="22"/>
        </w:rPr>
        <w:t>202.000, =</w:t>
      </w:r>
      <w:r w:rsidRPr="2FCF6D18" w:rsidR="00BA38FF">
        <w:rPr>
          <w:rFonts w:asciiTheme="minorHAnsi" w:hAnsiTheme="minorHAnsi"/>
          <w:sz w:val="22"/>
        </w:rPr>
        <w:t xml:space="preserve"> op JGZ </w:t>
      </w:r>
      <w:r w:rsidRPr="2FCF6D18" w:rsidR="00F857B9">
        <w:rPr>
          <w:rFonts w:asciiTheme="minorHAnsi" w:hAnsiTheme="minorHAnsi"/>
          <w:sz w:val="22"/>
        </w:rPr>
        <w:t>Oekraïne</w:t>
      </w:r>
      <w:r w:rsidRPr="2FCF6D18" w:rsidR="00BA38FF">
        <w:rPr>
          <w:rFonts w:asciiTheme="minorHAnsi" w:hAnsiTheme="minorHAnsi"/>
          <w:sz w:val="22"/>
        </w:rPr>
        <w:t xml:space="preserve">. Indien dit resultaat terugvloeit naar de gemeente </w:t>
      </w:r>
      <w:r w:rsidRPr="2FCF6D18" w:rsidR="00CE1347">
        <w:rPr>
          <w:rFonts w:asciiTheme="minorHAnsi" w:hAnsiTheme="minorHAnsi"/>
          <w:sz w:val="22"/>
        </w:rPr>
        <w:t xml:space="preserve">conform </w:t>
      </w:r>
      <w:r w:rsidRPr="2FCF6D18" w:rsidR="003B18B4">
        <w:rPr>
          <w:rFonts w:asciiTheme="minorHAnsi" w:hAnsiTheme="minorHAnsi"/>
          <w:sz w:val="22"/>
        </w:rPr>
        <w:t>hierboven genoemde afspraak</w:t>
      </w:r>
      <w:r w:rsidRPr="2FCF6D18" w:rsidR="00CE1347">
        <w:rPr>
          <w:rFonts w:asciiTheme="minorHAnsi" w:hAnsiTheme="minorHAnsi"/>
          <w:sz w:val="22"/>
        </w:rPr>
        <w:t xml:space="preserve"> </w:t>
      </w:r>
      <w:r w:rsidRPr="2FCF6D18" w:rsidR="00BA38FF">
        <w:rPr>
          <w:rFonts w:asciiTheme="minorHAnsi" w:hAnsiTheme="minorHAnsi"/>
          <w:sz w:val="22"/>
        </w:rPr>
        <w:t xml:space="preserve">ontstaat een feitelijk tekort van € </w:t>
      </w:r>
      <w:r w:rsidRPr="2FCF6D18" w:rsidR="0008691F">
        <w:rPr>
          <w:rFonts w:asciiTheme="minorHAnsi" w:hAnsiTheme="minorHAnsi"/>
          <w:sz w:val="22"/>
        </w:rPr>
        <w:t>134.000, =</w:t>
      </w:r>
      <w:r w:rsidRPr="2FCF6D18" w:rsidR="00BA38FF">
        <w:rPr>
          <w:rFonts w:asciiTheme="minorHAnsi" w:hAnsiTheme="minorHAnsi"/>
          <w:sz w:val="22"/>
        </w:rPr>
        <w:t>. Volgens de geldende afspraken wordt dit tekort gefactureerd aan de gemeenten. Effect is een netto voordeel voor de gemeenten van totaal €</w:t>
      </w:r>
      <w:r w:rsidRPr="2FCF6D18" w:rsidR="0C0A812D">
        <w:rPr>
          <w:rFonts w:asciiTheme="minorHAnsi" w:hAnsiTheme="minorHAnsi"/>
          <w:sz w:val="22"/>
        </w:rPr>
        <w:t xml:space="preserve"> </w:t>
      </w:r>
      <w:r w:rsidRPr="2FCF6D18" w:rsidR="00BA38FF">
        <w:rPr>
          <w:rFonts w:asciiTheme="minorHAnsi" w:hAnsiTheme="minorHAnsi"/>
          <w:sz w:val="22"/>
        </w:rPr>
        <w:t>67.</w:t>
      </w:r>
      <w:r w:rsidRPr="2FCF6D18" w:rsidR="0008691F">
        <w:rPr>
          <w:rFonts w:asciiTheme="minorHAnsi" w:hAnsiTheme="minorHAnsi"/>
          <w:sz w:val="22"/>
        </w:rPr>
        <w:t>000, =</w:t>
      </w:r>
      <w:r w:rsidRPr="2FCF6D18" w:rsidR="00BA38FF">
        <w:rPr>
          <w:rFonts w:asciiTheme="minorHAnsi" w:hAnsiTheme="minorHAnsi"/>
          <w:sz w:val="22"/>
        </w:rPr>
        <w:t xml:space="preserve">. </w:t>
      </w:r>
      <w:r w:rsidRPr="2FCF6D18" w:rsidR="003B18B4">
        <w:rPr>
          <w:rFonts w:asciiTheme="minorHAnsi" w:hAnsiTheme="minorHAnsi"/>
          <w:sz w:val="22"/>
        </w:rPr>
        <w:t>Gezien de urgentie ten aanzien van de beschikbaarheid van middelen voor organisatieontwikkeling stellen wij voor het voordelig saldo</w:t>
      </w:r>
      <w:r w:rsidRPr="2FCF6D18" w:rsidR="00BA38FF">
        <w:rPr>
          <w:rFonts w:asciiTheme="minorHAnsi" w:hAnsiTheme="minorHAnsi"/>
          <w:sz w:val="22"/>
        </w:rPr>
        <w:t xml:space="preserve"> niet te verrekenen en dit saldo ten </w:t>
      </w:r>
      <w:r w:rsidRPr="2FCF6D18" w:rsidR="002F7C7C">
        <w:rPr>
          <w:rFonts w:asciiTheme="minorHAnsi" w:hAnsiTheme="minorHAnsi"/>
          <w:sz w:val="22"/>
        </w:rPr>
        <w:t>gunste</w:t>
      </w:r>
      <w:r w:rsidRPr="2FCF6D18" w:rsidR="00BA38FF">
        <w:rPr>
          <w:rFonts w:asciiTheme="minorHAnsi" w:hAnsiTheme="minorHAnsi"/>
          <w:sz w:val="22"/>
        </w:rPr>
        <w:t xml:space="preserve"> te laten komen van de reserve Organi</w:t>
      </w:r>
      <w:r w:rsidRPr="2FCF6D18" w:rsidR="002F7C7C">
        <w:rPr>
          <w:rFonts w:asciiTheme="minorHAnsi" w:hAnsiTheme="minorHAnsi"/>
          <w:sz w:val="22"/>
        </w:rPr>
        <w:t>s</w:t>
      </w:r>
      <w:r w:rsidRPr="2FCF6D18" w:rsidR="00BA38FF">
        <w:rPr>
          <w:rFonts w:asciiTheme="minorHAnsi" w:hAnsiTheme="minorHAnsi"/>
          <w:sz w:val="22"/>
        </w:rPr>
        <w:t>atieontwikkeling.</w:t>
      </w:r>
    </w:p>
    <w:p w:rsidR="003B18B4" w:rsidP="003B18B4" w:rsidRDefault="003B18B4" w14:paraId="2F3BE4E2" w14:textId="77777777">
      <w:pPr>
        <w:tabs>
          <w:tab w:val="left" w:pos="-1440"/>
          <w:tab w:val="left" w:pos="1440"/>
        </w:tabs>
        <w:spacing w:after="0"/>
        <w:outlineLvl w:val="0"/>
        <w:rPr>
          <w:rFonts w:asciiTheme="minorHAnsi" w:hAnsiTheme="minorHAnsi"/>
          <w:b/>
          <w:bCs/>
          <w:sz w:val="22"/>
        </w:rPr>
      </w:pPr>
      <w:r>
        <w:rPr>
          <w:rFonts w:asciiTheme="minorHAnsi" w:hAnsiTheme="minorHAnsi"/>
          <w:b/>
          <w:bCs/>
          <w:sz w:val="22"/>
        </w:rPr>
        <w:t xml:space="preserve">Ad 6. </w:t>
      </w:r>
      <w:r w:rsidR="00216FDF">
        <w:rPr>
          <w:rFonts w:asciiTheme="minorHAnsi" w:hAnsiTheme="minorHAnsi"/>
          <w:b/>
          <w:bCs/>
          <w:sz w:val="22"/>
        </w:rPr>
        <w:t xml:space="preserve">Verklaring </w:t>
      </w:r>
      <w:r w:rsidRPr="0013454F" w:rsidR="0013454F">
        <w:rPr>
          <w:rFonts w:asciiTheme="minorHAnsi" w:hAnsiTheme="minorHAnsi"/>
          <w:b/>
          <w:bCs/>
          <w:sz w:val="22"/>
        </w:rPr>
        <w:t>rechtmatigheid</w:t>
      </w:r>
    </w:p>
    <w:p w:rsidRPr="003B18B4" w:rsidR="0013454F" w:rsidP="003B18B4" w:rsidRDefault="0013454F" w14:paraId="6E18BD31" w14:textId="7850BDC1">
      <w:pPr>
        <w:tabs>
          <w:tab w:val="left" w:pos="-1440"/>
          <w:tab w:val="left" w:pos="1440"/>
        </w:tabs>
        <w:outlineLvl w:val="0"/>
        <w:rPr>
          <w:rFonts w:asciiTheme="minorHAnsi" w:hAnsiTheme="minorHAnsi"/>
          <w:b/>
          <w:bCs/>
          <w:sz w:val="22"/>
        </w:rPr>
      </w:pPr>
      <w:r w:rsidRPr="0013454F">
        <w:rPr>
          <w:rFonts w:asciiTheme="minorHAnsi" w:hAnsiTheme="minorHAnsi"/>
          <w:sz w:val="22"/>
        </w:rPr>
        <w:t xml:space="preserve">Met ingang van 2023 geeft het dagelijks bestuur een verklaring af over de rechtmatigheid, ter vervanging van de verklaring van de accountant. Deze verklaring is opgenomen in de jaarrekening op pagina </w:t>
      </w:r>
      <w:r w:rsidR="00393DA8">
        <w:rPr>
          <w:rFonts w:asciiTheme="minorHAnsi" w:hAnsiTheme="minorHAnsi"/>
          <w:sz w:val="22"/>
        </w:rPr>
        <w:t>8</w:t>
      </w:r>
      <w:r w:rsidR="004A7EF8">
        <w:rPr>
          <w:rFonts w:asciiTheme="minorHAnsi" w:hAnsiTheme="minorHAnsi"/>
          <w:sz w:val="22"/>
        </w:rPr>
        <w:t>9</w:t>
      </w:r>
      <w:r w:rsidRPr="0013454F">
        <w:rPr>
          <w:rFonts w:asciiTheme="minorHAnsi" w:hAnsiTheme="minorHAnsi"/>
          <w:sz w:val="22"/>
        </w:rPr>
        <w:t xml:space="preserve">. Met het vaststellen van de jaarstukken </w:t>
      </w:r>
      <w:r w:rsidR="003457A6">
        <w:rPr>
          <w:rFonts w:asciiTheme="minorHAnsi" w:hAnsiTheme="minorHAnsi"/>
          <w:sz w:val="22"/>
        </w:rPr>
        <w:t xml:space="preserve">door het algemeen bestuur </w:t>
      </w:r>
      <w:r w:rsidRPr="0013454F">
        <w:rPr>
          <w:rFonts w:asciiTheme="minorHAnsi" w:hAnsiTheme="minorHAnsi"/>
          <w:sz w:val="22"/>
        </w:rPr>
        <w:t>wordt deze verklaring vastgesteld en goedgekeurd.</w:t>
      </w:r>
      <w:r w:rsidR="003457A6">
        <w:rPr>
          <w:rFonts w:asciiTheme="minorHAnsi" w:hAnsiTheme="minorHAnsi"/>
          <w:sz w:val="22"/>
        </w:rPr>
        <w:t xml:space="preserve"> In de bijlage bij dit voorstel zijn de bevindingen opgenomen uit de interne controles binnen de GGD op grond waarvan de verklaring opgesteld is. </w:t>
      </w:r>
    </w:p>
    <w:p w:rsidR="00243D02" w:rsidP="10A0CB1D" w:rsidRDefault="003B18B4" w14:paraId="2E98F261" w14:textId="20B756E7">
      <w:pPr>
        <w:tabs>
          <w:tab w:val="left" w:leader="none" w:pos="1440"/>
        </w:tabs>
        <w:spacing w:after="0"/>
        <w:outlineLvl w:val="0"/>
        <w:rPr>
          <w:rFonts w:ascii="Calibri" w:hAnsi="Calibri" w:asciiTheme="minorAscii" w:hAnsiTheme="minorAscii"/>
          <w:sz w:val="22"/>
          <w:szCs w:val="22"/>
        </w:rPr>
      </w:pPr>
      <w:r w:rsidRPr="10A0CB1D" w:rsidR="003B18B4">
        <w:rPr>
          <w:rFonts w:ascii="Calibri" w:hAnsi="Calibri" w:asciiTheme="minorAscii" w:hAnsiTheme="minorAscii"/>
          <w:b w:val="1"/>
          <w:bCs w:val="1"/>
          <w:sz w:val="22"/>
          <w:szCs w:val="22"/>
        </w:rPr>
        <w:t xml:space="preserve">Ad 7. </w:t>
      </w:r>
      <w:r w:rsidRPr="10A0CB1D" w:rsidR="577C1CDF">
        <w:rPr>
          <w:rFonts w:ascii="Calibri" w:hAnsi="Calibri" w:asciiTheme="minorAscii" w:hAnsiTheme="minorAscii"/>
          <w:b w:val="1"/>
          <w:bCs w:val="1"/>
          <w:sz w:val="22"/>
          <w:szCs w:val="22"/>
        </w:rPr>
        <w:t>A</w:t>
      </w:r>
      <w:r w:rsidRPr="10A0CB1D" w:rsidR="00243D02">
        <w:rPr>
          <w:rFonts w:ascii="Calibri" w:hAnsi="Calibri" w:asciiTheme="minorAscii" w:hAnsiTheme="minorAscii"/>
          <w:b w:val="1"/>
          <w:bCs w:val="1"/>
          <w:sz w:val="22"/>
          <w:szCs w:val="22"/>
        </w:rPr>
        <w:t>ccountantsverslag</w:t>
      </w:r>
      <w:r w:rsidRPr="10A0CB1D" w:rsidR="00393DA8">
        <w:rPr>
          <w:rFonts w:ascii="Calibri" w:hAnsi="Calibri" w:asciiTheme="minorAscii" w:hAnsiTheme="minorAscii"/>
          <w:sz w:val="22"/>
          <w:szCs w:val="22"/>
        </w:rPr>
        <w:t xml:space="preserve"> </w:t>
      </w:r>
      <w:r w:rsidRPr="10A0CB1D" w:rsidR="002F7C7C">
        <w:rPr>
          <w:rFonts w:ascii="Calibri" w:hAnsi="Calibri" w:asciiTheme="minorAscii" w:hAnsiTheme="minorAscii"/>
          <w:sz w:val="22"/>
          <w:szCs w:val="22"/>
        </w:rPr>
        <w:t xml:space="preserve"> </w:t>
      </w:r>
    </w:p>
    <w:p w:rsidR="00243D02" w:rsidP="10A0CB1D" w:rsidRDefault="00243D02" w14:paraId="20EB83D1" w14:textId="21D46524">
      <w:pPr>
        <w:tabs>
          <w:tab w:val="left" w:leader="none" w:pos="1440"/>
        </w:tabs>
        <w:outlineLvl w:val="0"/>
        <w:rPr>
          <w:rFonts w:ascii="Calibri" w:hAnsi="Calibri" w:asciiTheme="minorAscii" w:hAnsiTheme="minorAscii"/>
          <w:sz w:val="22"/>
          <w:szCs w:val="22"/>
        </w:rPr>
      </w:pPr>
      <w:r w:rsidRPr="10A0CB1D" w:rsidR="00243D02">
        <w:rPr>
          <w:rFonts w:ascii="Calibri" w:hAnsi="Calibri" w:asciiTheme="minorAscii" w:hAnsiTheme="minorAscii"/>
          <w:sz w:val="22"/>
          <w:szCs w:val="22"/>
        </w:rPr>
        <w:t>Het verslag van de accountant</w:t>
      </w:r>
      <w:r w:rsidRPr="10A0CB1D" w:rsidR="7D01A1F9">
        <w:rPr>
          <w:rFonts w:ascii="Calibri" w:hAnsi="Calibri" w:asciiTheme="minorAscii" w:hAnsiTheme="minorAscii"/>
          <w:sz w:val="22"/>
          <w:szCs w:val="22"/>
        </w:rPr>
        <w:t xml:space="preserve">, </w:t>
      </w:r>
      <w:r w:rsidRPr="10A0CB1D" w:rsidR="7D01A1F9">
        <w:rPr>
          <w:rFonts w:ascii="Calibri" w:hAnsi="Calibri" w:asciiTheme="minorAscii" w:hAnsiTheme="minorAscii"/>
          <w:sz w:val="22"/>
          <w:szCs w:val="22"/>
        </w:rPr>
        <w:t>alsmede</w:t>
      </w:r>
      <w:r w:rsidRPr="10A0CB1D" w:rsidR="7D01A1F9">
        <w:rPr>
          <w:rFonts w:ascii="Calibri" w:hAnsi="Calibri" w:asciiTheme="minorAscii" w:hAnsiTheme="minorAscii"/>
          <w:sz w:val="22"/>
          <w:szCs w:val="22"/>
        </w:rPr>
        <w:t xml:space="preserve"> de accountantsverklaring, zijn</w:t>
      </w:r>
      <w:r w:rsidRPr="10A0CB1D" w:rsidR="00243D02">
        <w:rPr>
          <w:rFonts w:ascii="Calibri" w:hAnsi="Calibri" w:asciiTheme="minorAscii" w:hAnsiTheme="minorAscii"/>
          <w:sz w:val="22"/>
          <w:szCs w:val="22"/>
        </w:rPr>
        <w:t xml:space="preserve"> als document</w:t>
      </w:r>
      <w:r w:rsidRPr="10A0CB1D" w:rsidR="0CFCC982">
        <w:rPr>
          <w:rFonts w:ascii="Calibri" w:hAnsi="Calibri" w:asciiTheme="minorAscii" w:hAnsiTheme="minorAscii"/>
          <w:sz w:val="22"/>
          <w:szCs w:val="22"/>
        </w:rPr>
        <w:t>en</w:t>
      </w:r>
      <w:r w:rsidRPr="10A0CB1D" w:rsidR="00243D02">
        <w:rPr>
          <w:rFonts w:ascii="Calibri" w:hAnsi="Calibri" w:asciiTheme="minorAscii" w:hAnsiTheme="minorAscii"/>
          <w:sz w:val="22"/>
          <w:szCs w:val="22"/>
        </w:rPr>
        <w:t xml:space="preserve"> bijgevoegd. </w:t>
      </w:r>
    </w:p>
    <w:p w:rsidRPr="00243D02" w:rsidR="00243D02" w:rsidP="00E566EE" w:rsidRDefault="00243D02" w14:paraId="277F1FE5" w14:textId="77777777">
      <w:pPr>
        <w:tabs>
          <w:tab w:val="left" w:pos="-1440"/>
          <w:tab w:val="left" w:pos="1440"/>
        </w:tabs>
        <w:outlineLvl w:val="0"/>
        <w:rPr>
          <w:rFonts w:asciiTheme="minorHAnsi" w:hAnsiTheme="minorHAnsi"/>
          <w:sz w:val="22"/>
        </w:rPr>
      </w:pPr>
    </w:p>
    <w:p w:rsidR="00243D02" w:rsidP="00393DA8" w:rsidRDefault="00243D02" w14:paraId="4B20A857" w14:textId="77777777">
      <w:pPr>
        <w:tabs>
          <w:tab w:val="left" w:pos="-1440"/>
          <w:tab w:val="left" w:pos="1440"/>
        </w:tabs>
        <w:outlineLvl w:val="0"/>
        <w:rPr>
          <w:rFonts w:asciiTheme="minorHAnsi" w:hAnsiTheme="minorHAnsi"/>
          <w:b/>
          <w:bCs/>
          <w:sz w:val="22"/>
        </w:rPr>
      </w:pPr>
    </w:p>
    <w:p w:rsidR="00243D02" w:rsidP="00393DA8" w:rsidRDefault="00243D02" w14:paraId="3F1F20D7" w14:textId="77777777">
      <w:pPr>
        <w:tabs>
          <w:tab w:val="left" w:pos="-1440"/>
          <w:tab w:val="left" w:pos="1440"/>
        </w:tabs>
        <w:outlineLvl w:val="0"/>
        <w:rPr>
          <w:rFonts w:asciiTheme="minorHAnsi" w:hAnsiTheme="minorHAnsi"/>
          <w:b/>
          <w:bCs/>
          <w:sz w:val="22"/>
        </w:rPr>
      </w:pPr>
    </w:p>
    <w:p w:rsidRPr="00393DA8" w:rsidR="00393DA8" w:rsidP="00393DA8" w:rsidRDefault="00393DA8" w14:paraId="3A144B6D" w14:textId="3EE70106">
      <w:pPr>
        <w:tabs>
          <w:tab w:val="left" w:pos="-1440"/>
          <w:tab w:val="left" w:pos="1440"/>
        </w:tabs>
        <w:outlineLvl w:val="0"/>
        <w:rPr>
          <w:rFonts w:asciiTheme="minorHAnsi" w:hAnsiTheme="minorHAnsi"/>
          <w:b/>
          <w:bCs/>
          <w:sz w:val="22"/>
        </w:rPr>
      </w:pPr>
      <w:r w:rsidRPr="00393DA8">
        <w:rPr>
          <w:rFonts w:asciiTheme="minorHAnsi" w:hAnsiTheme="minorHAnsi"/>
          <w:b/>
          <w:bCs/>
          <w:sz w:val="22"/>
        </w:rPr>
        <w:lastRenderedPageBreak/>
        <w:t>Bijlage</w:t>
      </w:r>
      <w:r w:rsidR="00494934">
        <w:rPr>
          <w:rFonts w:asciiTheme="minorHAnsi" w:hAnsiTheme="minorHAnsi"/>
          <w:b/>
          <w:bCs/>
          <w:sz w:val="22"/>
        </w:rPr>
        <w:t xml:space="preserve"> 1</w:t>
      </w:r>
    </w:p>
    <w:p w:rsidRPr="002F7C7C" w:rsidR="00D86A66" w:rsidP="00D86A66" w:rsidRDefault="00D86A66" w14:paraId="37B9CD4A" w14:textId="6B831BE9">
      <w:pPr>
        <w:rPr>
          <w:rFonts w:asciiTheme="minorHAnsi" w:hAnsiTheme="minorHAnsi"/>
          <w:sz w:val="22"/>
        </w:rPr>
      </w:pPr>
      <w:r w:rsidRPr="002F7C7C">
        <w:rPr>
          <w:rFonts w:asciiTheme="minorHAnsi" w:hAnsiTheme="minorHAnsi"/>
          <w:sz w:val="22"/>
        </w:rPr>
        <w:t>Bijlage Rechtmatigheidsverantwoording 202</w:t>
      </w:r>
      <w:r w:rsidRPr="002F7C7C" w:rsidR="002F7C7C">
        <w:rPr>
          <w:rFonts w:asciiTheme="minorHAnsi" w:hAnsiTheme="minorHAnsi"/>
          <w:sz w:val="22"/>
        </w:rPr>
        <w:t>5</w:t>
      </w:r>
    </w:p>
    <w:p w:rsidRPr="002F7C7C" w:rsidR="00D86A66" w:rsidP="00D86A66" w:rsidRDefault="00D86A66" w14:paraId="6E056AB2" w14:textId="77777777">
      <w:pPr>
        <w:spacing w:after="0" w:line="240" w:lineRule="auto"/>
        <w:rPr>
          <w:rFonts w:asciiTheme="minorHAnsi" w:hAnsiTheme="minorHAnsi"/>
          <w:sz w:val="22"/>
        </w:rPr>
      </w:pPr>
    </w:p>
    <w:p w:rsidRPr="002F7C7C" w:rsidR="002F7C7C" w:rsidP="002F7C7C" w:rsidRDefault="002F7C7C" w14:paraId="063127E8" w14:textId="77777777">
      <w:pPr>
        <w:rPr>
          <w:rFonts w:asciiTheme="minorHAnsi" w:hAnsiTheme="minorHAnsi"/>
          <w:sz w:val="22"/>
        </w:rPr>
      </w:pPr>
      <w:r w:rsidRPr="002F7C7C">
        <w:rPr>
          <w:rFonts w:asciiTheme="minorHAnsi" w:hAnsiTheme="minorHAnsi"/>
          <w:sz w:val="22"/>
        </w:rPr>
        <w:t xml:space="preserve">Vanaf het boekjaar 2023 is de rechtmatigheidsverantwoording een verantwoordelijkheid van het Dagelijks Bestuur. Ook in 2025 legt het Dagelijks Bestuur van GGD Drenthe verantwoording over de rechtmatigheid af via een rechtmatigheidsverklaring in de jaarrekening. In deze verklaring geeft het Dagelijks Bestuur aan of GGD Drenthe in overeenstemming met wet- en regelgeving heeft gehandeld. </w:t>
      </w:r>
    </w:p>
    <w:p w:rsidRPr="002F7C7C" w:rsidR="002F7C7C" w:rsidP="002F7C7C" w:rsidRDefault="002F7C7C" w14:paraId="459A47FA" w14:textId="77777777">
      <w:pPr>
        <w:rPr>
          <w:rFonts w:asciiTheme="minorHAnsi" w:hAnsiTheme="minorHAnsi"/>
          <w:sz w:val="22"/>
        </w:rPr>
      </w:pPr>
      <w:r w:rsidRPr="002F7C7C">
        <w:rPr>
          <w:rFonts w:asciiTheme="minorHAnsi" w:hAnsiTheme="minorHAnsi"/>
          <w:sz w:val="22"/>
        </w:rPr>
        <w:t xml:space="preserve">Er zijn negen criteria voor rechtmatigheid opgesteld om vast te stellen of een organisatie op een juiste wijze met geld omgaat. Het Dagelijks Bestuur moet in de jaarrekening uitleg geven over hoe het deze negen criteria heeft toegepast. De eerste zes van deze criteria gaan over de juistheid en volledigheid van de cijfers in de balans en het overzicht van baten en lasten. De andere drie criteria gaan over het naleven van de regels door de GGD Drenthe. De accountant beoordeelt de jaarrekening van GGD Drenthe en controleert of de zes criteria juist zijn toegepast. Daarnaast beoordeelt de accountant de in de jaarrekening opgenomen rechtmatigheidsverantwoording. In de verklaring van de accountant wordt aangegeven of de jaarrekening een getrouw beeld geeft. </w:t>
      </w:r>
    </w:p>
    <w:p w:rsidRPr="002F7C7C" w:rsidR="002F7C7C" w:rsidP="002F7C7C" w:rsidRDefault="002F7C7C" w14:paraId="7ABA29FA" w14:textId="77777777">
      <w:pPr>
        <w:rPr>
          <w:rFonts w:asciiTheme="minorHAnsi" w:hAnsiTheme="minorHAnsi"/>
          <w:sz w:val="22"/>
        </w:rPr>
      </w:pPr>
      <w:r w:rsidRPr="002F7C7C">
        <w:rPr>
          <w:rFonts w:asciiTheme="minorHAnsi" w:hAnsiTheme="minorHAnsi"/>
          <w:sz w:val="22"/>
        </w:rPr>
        <w:t>Om vast te stellen of GGD Drenthe de regels heeft nageleefd moet worden getoetst op de drie rechtmatigheidscriteria. Toetsing op de drie rechtmatigheidscriteria houdt in dat:</w:t>
      </w:r>
    </w:p>
    <w:p w:rsidRPr="002F7C7C" w:rsidR="002F7C7C" w:rsidP="002F7C7C" w:rsidRDefault="002F7C7C" w14:paraId="52E94D09" w14:textId="77777777">
      <w:pPr>
        <w:pStyle w:val="Lijstalinea"/>
        <w:numPr>
          <w:ilvl w:val="0"/>
          <w:numId w:val="8"/>
        </w:numPr>
        <w:spacing w:line="276" w:lineRule="auto"/>
        <w:rPr>
          <w:rFonts w:eastAsia="Calibri" w:asciiTheme="minorHAnsi" w:hAnsiTheme="minorHAnsi"/>
          <w:sz w:val="22"/>
        </w:rPr>
      </w:pPr>
      <w:r w:rsidRPr="002F7C7C">
        <w:rPr>
          <w:rFonts w:eastAsia="Calibri" w:asciiTheme="minorHAnsi" w:hAnsiTheme="minorHAnsi"/>
          <w:sz w:val="22"/>
        </w:rPr>
        <w:t>wordt vastgesteld of binnen de vastgestelde begroting wordt gehandeld (begrotingscriterium)</w:t>
      </w:r>
    </w:p>
    <w:p w:rsidRPr="002F7C7C" w:rsidR="002F7C7C" w:rsidP="002F7C7C" w:rsidRDefault="002F7C7C" w14:paraId="5B3D3DCA" w14:textId="77777777">
      <w:pPr>
        <w:pStyle w:val="Lijstalinea"/>
        <w:numPr>
          <w:ilvl w:val="0"/>
          <w:numId w:val="8"/>
        </w:numPr>
        <w:spacing w:line="276" w:lineRule="auto"/>
        <w:rPr>
          <w:rFonts w:eastAsia="Calibri" w:asciiTheme="minorHAnsi" w:hAnsiTheme="minorHAnsi"/>
          <w:sz w:val="22"/>
        </w:rPr>
      </w:pPr>
      <w:r w:rsidRPr="002F7C7C">
        <w:rPr>
          <w:rFonts w:eastAsia="Calibri" w:asciiTheme="minorHAnsi" w:hAnsiTheme="minorHAnsi"/>
          <w:sz w:val="22"/>
        </w:rPr>
        <w:t>gelden worden besteed en ontvangen op basis van geldende wet- en regelgeving (voorwaardencriterium) en</w:t>
      </w:r>
    </w:p>
    <w:p w:rsidRPr="002F7C7C" w:rsidR="002F7C7C" w:rsidP="002F7C7C" w:rsidRDefault="002F7C7C" w14:paraId="57786152" w14:textId="77777777">
      <w:pPr>
        <w:pStyle w:val="Lijstalinea"/>
        <w:numPr>
          <w:ilvl w:val="0"/>
          <w:numId w:val="8"/>
        </w:numPr>
        <w:spacing w:line="276" w:lineRule="auto"/>
        <w:rPr>
          <w:rFonts w:eastAsia="Calibri" w:asciiTheme="minorHAnsi" w:hAnsiTheme="minorHAnsi"/>
          <w:sz w:val="22"/>
        </w:rPr>
      </w:pPr>
      <w:r w:rsidRPr="002F7C7C">
        <w:rPr>
          <w:rFonts w:eastAsia="Calibri" w:asciiTheme="minorHAnsi" w:hAnsiTheme="minorHAnsi"/>
          <w:sz w:val="22"/>
        </w:rPr>
        <w:t>voldoende maatregelen zijn getroffen om misbruik en oneigenlijk gebruik te voorkomen (misbruik en oneigenlijk gebruik criterium).</w:t>
      </w:r>
    </w:p>
    <w:p w:rsidRPr="002F7C7C" w:rsidR="002F7C7C" w:rsidP="002F7C7C" w:rsidRDefault="002F7C7C" w14:paraId="403A790E" w14:textId="77777777">
      <w:pPr>
        <w:autoSpaceDE w:val="0"/>
        <w:autoSpaceDN w:val="0"/>
        <w:adjustRightInd w:val="0"/>
        <w:snapToGrid w:val="0"/>
        <w:rPr>
          <w:rFonts w:asciiTheme="minorHAnsi" w:hAnsiTheme="minorHAnsi"/>
          <w:sz w:val="22"/>
        </w:rPr>
      </w:pPr>
    </w:p>
    <w:p w:rsidRPr="002F7C7C" w:rsidR="002F7C7C" w:rsidP="002F7C7C" w:rsidRDefault="002F7C7C" w14:paraId="1E42E801" w14:textId="77777777">
      <w:pPr>
        <w:rPr>
          <w:rFonts w:asciiTheme="minorHAnsi" w:hAnsiTheme="minorHAnsi"/>
          <w:b/>
          <w:bCs/>
          <w:sz w:val="22"/>
        </w:rPr>
      </w:pPr>
      <w:r w:rsidRPr="002F7C7C">
        <w:rPr>
          <w:rFonts w:asciiTheme="minorHAnsi" w:hAnsiTheme="minorHAnsi"/>
          <w:b/>
          <w:bCs/>
          <w:sz w:val="22"/>
        </w:rPr>
        <w:t>Bevindingen</w:t>
      </w:r>
    </w:p>
    <w:p w:rsidRPr="002F7C7C" w:rsidR="002F7C7C" w:rsidP="002F7C7C" w:rsidRDefault="002F7C7C" w14:paraId="07CB20A5" w14:textId="77777777">
      <w:pPr>
        <w:jc w:val="both"/>
        <w:rPr>
          <w:rFonts w:asciiTheme="minorHAnsi" w:hAnsiTheme="minorHAnsi"/>
          <w:sz w:val="22"/>
        </w:rPr>
      </w:pPr>
      <w:r w:rsidRPr="002F7C7C">
        <w:rPr>
          <w:rFonts w:asciiTheme="minorHAnsi" w:hAnsiTheme="minorHAnsi"/>
          <w:sz w:val="22"/>
        </w:rPr>
        <w:t>In de vergadering van het AB van 9 juli 2025 is de verantwoordingsgrens rechtmatigheid vastgesteld op 2% van de totale lasten (inclusief dotaties aan de reserves). Dat betekent dat het AB geïnformeerd wordt over fouten en onzekerheden, die boven deze grens liggen.</w:t>
      </w:r>
    </w:p>
    <w:p w:rsidR="002F7C7C" w:rsidP="002F7C7C" w:rsidRDefault="002F7C7C" w14:paraId="16B008D9" w14:textId="77777777">
      <w:pPr>
        <w:spacing w:line="336" w:lineRule="auto"/>
        <w:rPr>
          <w:rFonts w:eastAsiaTheme="minorHAnsi" w:cstheme="minorBidi"/>
          <w:iCs/>
          <w:szCs w:val="18"/>
        </w:rPr>
      </w:pPr>
    </w:p>
    <w:p w:rsidRPr="00576C36" w:rsidR="002F7C7C" w:rsidP="002F7C7C" w:rsidRDefault="002F7C7C" w14:paraId="63ACD86B" w14:textId="77777777">
      <w:pPr>
        <w:spacing w:line="336" w:lineRule="auto"/>
        <w:rPr>
          <w:rFonts w:eastAsiaTheme="minorHAnsi" w:cstheme="minorBidi"/>
          <w:iCs/>
          <w:szCs w:val="18"/>
        </w:rPr>
      </w:pPr>
    </w:p>
    <w:tbl>
      <w:tblPr>
        <w:tblStyle w:val="Tabelraster6"/>
        <w:tblW w:w="0" w:type="auto"/>
        <w:tblLook w:val="04A0" w:firstRow="1" w:lastRow="0" w:firstColumn="1" w:lastColumn="0" w:noHBand="0" w:noVBand="1"/>
      </w:tblPr>
      <w:tblGrid>
        <w:gridCol w:w="3134"/>
        <w:gridCol w:w="1378"/>
        <w:gridCol w:w="1414"/>
        <w:gridCol w:w="2285"/>
      </w:tblGrid>
      <w:tr w:rsidRPr="00576C36" w:rsidR="002F7C7C" w:rsidTr="00F51F3D" w14:paraId="3191E3A4" w14:textId="77777777">
        <w:tc>
          <w:tcPr>
            <w:tcW w:w="2614" w:type="dxa"/>
            <w:shd w:val="clear" w:color="auto" w:fill="548DD4" w:themeFill="text2" w:themeFillTint="99"/>
          </w:tcPr>
          <w:p w:rsidRPr="00576C36" w:rsidR="002F7C7C" w:rsidP="00F51F3D" w:rsidRDefault="002F7C7C" w14:paraId="7A503B6E" w14:textId="77777777">
            <w:pPr>
              <w:spacing w:line="336" w:lineRule="auto"/>
              <w:rPr>
                <w:rFonts w:ascii="Verdana" w:hAnsi="Verdana"/>
                <w:iCs/>
                <w:color w:val="FFFFFF" w:themeColor="background1"/>
                <w:szCs w:val="18"/>
              </w:rPr>
            </w:pPr>
            <w:r w:rsidRPr="00576C36">
              <w:rPr>
                <w:rFonts w:ascii="Verdana" w:hAnsi="Verdana"/>
                <w:iCs/>
                <w:color w:val="FFFFFF" w:themeColor="background1"/>
                <w:szCs w:val="18"/>
              </w:rPr>
              <w:t>Rechtmatigheidsverantwoording</w:t>
            </w:r>
          </w:p>
        </w:tc>
        <w:tc>
          <w:tcPr>
            <w:tcW w:w="2614" w:type="dxa"/>
            <w:shd w:val="clear" w:color="auto" w:fill="548DD4" w:themeFill="text2" w:themeFillTint="99"/>
          </w:tcPr>
          <w:p w:rsidRPr="00576C36" w:rsidR="002F7C7C" w:rsidP="00F51F3D" w:rsidRDefault="002F7C7C" w14:paraId="7304D98D" w14:textId="77777777">
            <w:pPr>
              <w:spacing w:line="336" w:lineRule="auto"/>
              <w:rPr>
                <w:rFonts w:ascii="Verdana" w:hAnsi="Verdana"/>
                <w:iCs/>
                <w:color w:val="FFFFFF" w:themeColor="background1"/>
                <w:szCs w:val="18"/>
              </w:rPr>
            </w:pPr>
            <w:r w:rsidRPr="00576C36">
              <w:rPr>
                <w:rFonts w:ascii="Verdana" w:hAnsi="Verdana"/>
                <w:iCs/>
                <w:color w:val="FFFFFF" w:themeColor="background1"/>
                <w:szCs w:val="18"/>
              </w:rPr>
              <w:t>Percentage</w:t>
            </w:r>
          </w:p>
        </w:tc>
        <w:tc>
          <w:tcPr>
            <w:tcW w:w="2614" w:type="dxa"/>
            <w:shd w:val="clear" w:color="auto" w:fill="548DD4" w:themeFill="text2" w:themeFillTint="99"/>
          </w:tcPr>
          <w:p w:rsidRPr="00576C36" w:rsidR="002F7C7C" w:rsidP="00F51F3D" w:rsidRDefault="002F7C7C" w14:paraId="1C1AFA53" w14:textId="77777777">
            <w:pPr>
              <w:spacing w:line="336" w:lineRule="auto"/>
              <w:rPr>
                <w:rFonts w:ascii="Verdana" w:hAnsi="Verdana"/>
                <w:iCs/>
                <w:color w:val="FFFFFF" w:themeColor="background1"/>
                <w:szCs w:val="18"/>
              </w:rPr>
            </w:pPr>
            <w:r w:rsidRPr="00576C36">
              <w:rPr>
                <w:rFonts w:ascii="Verdana" w:hAnsi="Verdana"/>
                <w:iCs/>
                <w:color w:val="FFFFFF" w:themeColor="background1"/>
                <w:szCs w:val="18"/>
              </w:rPr>
              <w:t>Totale lasten (incl. dotatie reserves)*</w:t>
            </w:r>
          </w:p>
        </w:tc>
        <w:tc>
          <w:tcPr>
            <w:tcW w:w="2614" w:type="dxa"/>
            <w:shd w:val="clear" w:color="auto" w:fill="548DD4" w:themeFill="text2" w:themeFillTint="99"/>
          </w:tcPr>
          <w:p w:rsidRPr="00576C36" w:rsidR="002F7C7C" w:rsidP="00F51F3D" w:rsidRDefault="002F7C7C" w14:paraId="5201FE9E" w14:textId="77777777">
            <w:pPr>
              <w:spacing w:line="336" w:lineRule="auto"/>
              <w:rPr>
                <w:rFonts w:ascii="Verdana" w:hAnsi="Verdana"/>
                <w:iCs/>
                <w:color w:val="FFFFFF" w:themeColor="background1"/>
                <w:szCs w:val="18"/>
              </w:rPr>
            </w:pPr>
            <w:r w:rsidRPr="00576C36">
              <w:rPr>
                <w:rFonts w:ascii="Verdana" w:hAnsi="Verdana"/>
                <w:iCs/>
                <w:color w:val="FFFFFF" w:themeColor="background1"/>
                <w:szCs w:val="18"/>
              </w:rPr>
              <w:t>Verantwoordingsgrens</w:t>
            </w:r>
          </w:p>
        </w:tc>
      </w:tr>
      <w:tr w:rsidRPr="00576C36" w:rsidR="002F7C7C" w:rsidTr="00F51F3D" w14:paraId="5FF5E780" w14:textId="77777777">
        <w:tc>
          <w:tcPr>
            <w:tcW w:w="2614" w:type="dxa"/>
            <w:shd w:val="clear" w:color="auto" w:fill="C6D9F1" w:themeFill="text2" w:themeFillTint="33"/>
          </w:tcPr>
          <w:p w:rsidRPr="00576C36" w:rsidR="002F7C7C" w:rsidP="00F51F3D" w:rsidRDefault="002F7C7C" w14:paraId="44D6E82A" w14:textId="77777777">
            <w:pPr>
              <w:spacing w:line="336" w:lineRule="auto"/>
              <w:rPr>
                <w:rFonts w:ascii="Verdana" w:hAnsi="Verdana"/>
                <w:iCs/>
                <w:szCs w:val="18"/>
              </w:rPr>
            </w:pPr>
            <w:r w:rsidRPr="00576C36">
              <w:rPr>
                <w:rFonts w:ascii="Verdana" w:hAnsi="Verdana"/>
                <w:iCs/>
                <w:szCs w:val="18"/>
              </w:rPr>
              <w:t>Fouten</w:t>
            </w:r>
          </w:p>
        </w:tc>
        <w:tc>
          <w:tcPr>
            <w:tcW w:w="2614" w:type="dxa"/>
            <w:shd w:val="clear" w:color="auto" w:fill="C6D9F1" w:themeFill="text2" w:themeFillTint="33"/>
          </w:tcPr>
          <w:p w:rsidRPr="00576C36" w:rsidR="002F7C7C" w:rsidP="00F51F3D" w:rsidRDefault="002F7C7C" w14:paraId="03956815" w14:textId="77777777">
            <w:pPr>
              <w:spacing w:line="336" w:lineRule="auto"/>
              <w:rPr>
                <w:rFonts w:ascii="Verdana" w:hAnsi="Verdana"/>
                <w:iCs/>
                <w:szCs w:val="18"/>
              </w:rPr>
            </w:pPr>
            <w:r>
              <w:rPr>
                <w:rFonts w:ascii="Verdana" w:hAnsi="Verdana"/>
                <w:iCs/>
                <w:szCs w:val="18"/>
              </w:rPr>
              <w:t>2</w:t>
            </w:r>
            <w:r w:rsidRPr="00576C36">
              <w:rPr>
                <w:rFonts w:ascii="Verdana" w:hAnsi="Verdana"/>
                <w:iCs/>
                <w:szCs w:val="18"/>
              </w:rPr>
              <w:t>%</w:t>
            </w:r>
          </w:p>
        </w:tc>
        <w:tc>
          <w:tcPr>
            <w:tcW w:w="2614" w:type="dxa"/>
            <w:shd w:val="clear" w:color="auto" w:fill="C6D9F1" w:themeFill="text2" w:themeFillTint="33"/>
          </w:tcPr>
          <w:p w:rsidRPr="00576C36" w:rsidR="002F7C7C" w:rsidP="00F51F3D" w:rsidRDefault="002F7C7C" w14:paraId="15C6926C" w14:textId="77777777">
            <w:pPr>
              <w:spacing w:line="336" w:lineRule="auto"/>
              <w:rPr>
                <w:rFonts w:ascii="Verdana" w:hAnsi="Verdana"/>
                <w:iCs/>
                <w:szCs w:val="18"/>
              </w:rPr>
            </w:pPr>
            <w:r>
              <w:rPr>
                <w:rFonts w:ascii="Verdana" w:hAnsi="Verdana"/>
                <w:iCs/>
                <w:szCs w:val="18"/>
              </w:rPr>
              <w:t>44.914.234</w:t>
            </w:r>
          </w:p>
        </w:tc>
        <w:tc>
          <w:tcPr>
            <w:tcW w:w="2614" w:type="dxa"/>
            <w:shd w:val="clear" w:color="auto" w:fill="C6D9F1" w:themeFill="text2" w:themeFillTint="33"/>
          </w:tcPr>
          <w:p w:rsidRPr="00576C36" w:rsidR="002F7C7C" w:rsidP="00F51F3D" w:rsidRDefault="002F7C7C" w14:paraId="7DEBF3D3" w14:textId="77777777">
            <w:pPr>
              <w:spacing w:line="336" w:lineRule="auto"/>
              <w:rPr>
                <w:rFonts w:ascii="Verdana" w:hAnsi="Verdana"/>
                <w:iCs/>
                <w:szCs w:val="18"/>
              </w:rPr>
            </w:pPr>
            <w:r>
              <w:rPr>
                <w:rFonts w:ascii="Verdana" w:hAnsi="Verdana"/>
                <w:iCs/>
                <w:szCs w:val="18"/>
              </w:rPr>
              <w:t>898.285</w:t>
            </w:r>
          </w:p>
        </w:tc>
      </w:tr>
      <w:tr w:rsidRPr="00576C36" w:rsidR="002F7C7C" w:rsidTr="00F51F3D" w14:paraId="5E160BEE" w14:textId="77777777">
        <w:tc>
          <w:tcPr>
            <w:tcW w:w="2614" w:type="dxa"/>
            <w:shd w:val="clear" w:color="auto" w:fill="C6D9F1" w:themeFill="text2" w:themeFillTint="33"/>
          </w:tcPr>
          <w:p w:rsidRPr="00576C36" w:rsidR="002F7C7C" w:rsidP="00F51F3D" w:rsidRDefault="002F7C7C" w14:paraId="77BF1175" w14:textId="77777777">
            <w:pPr>
              <w:spacing w:line="336" w:lineRule="auto"/>
              <w:rPr>
                <w:rFonts w:ascii="Verdana" w:hAnsi="Verdana"/>
                <w:iCs/>
                <w:szCs w:val="18"/>
              </w:rPr>
            </w:pPr>
            <w:r w:rsidRPr="00576C36">
              <w:rPr>
                <w:rFonts w:ascii="Verdana" w:hAnsi="Verdana"/>
                <w:iCs/>
                <w:szCs w:val="18"/>
              </w:rPr>
              <w:lastRenderedPageBreak/>
              <w:t>Onzekerheden</w:t>
            </w:r>
          </w:p>
        </w:tc>
        <w:tc>
          <w:tcPr>
            <w:tcW w:w="2614" w:type="dxa"/>
            <w:shd w:val="clear" w:color="auto" w:fill="C6D9F1" w:themeFill="text2" w:themeFillTint="33"/>
          </w:tcPr>
          <w:p w:rsidRPr="00576C36" w:rsidR="002F7C7C" w:rsidP="00F51F3D" w:rsidRDefault="002F7C7C" w14:paraId="780DAE49" w14:textId="77777777">
            <w:pPr>
              <w:spacing w:line="336" w:lineRule="auto"/>
              <w:rPr>
                <w:rFonts w:ascii="Verdana" w:hAnsi="Verdana"/>
                <w:iCs/>
                <w:szCs w:val="18"/>
              </w:rPr>
            </w:pPr>
            <w:r>
              <w:rPr>
                <w:rFonts w:ascii="Verdana" w:hAnsi="Verdana"/>
                <w:iCs/>
                <w:szCs w:val="18"/>
              </w:rPr>
              <w:t>2</w:t>
            </w:r>
            <w:r w:rsidRPr="00576C36">
              <w:rPr>
                <w:rFonts w:ascii="Verdana" w:hAnsi="Verdana"/>
                <w:iCs/>
                <w:szCs w:val="18"/>
              </w:rPr>
              <w:t>%</w:t>
            </w:r>
          </w:p>
        </w:tc>
        <w:tc>
          <w:tcPr>
            <w:tcW w:w="2614" w:type="dxa"/>
            <w:shd w:val="clear" w:color="auto" w:fill="C6D9F1" w:themeFill="text2" w:themeFillTint="33"/>
          </w:tcPr>
          <w:p w:rsidRPr="00576C36" w:rsidR="002F7C7C" w:rsidP="00F51F3D" w:rsidRDefault="002F7C7C" w14:paraId="3FE41F3B" w14:textId="77777777">
            <w:pPr>
              <w:spacing w:line="336" w:lineRule="auto"/>
              <w:rPr>
                <w:rFonts w:ascii="Verdana" w:hAnsi="Verdana"/>
                <w:iCs/>
                <w:szCs w:val="18"/>
              </w:rPr>
            </w:pPr>
            <w:r>
              <w:rPr>
                <w:rFonts w:ascii="Verdana" w:hAnsi="Verdana"/>
                <w:iCs/>
                <w:szCs w:val="18"/>
              </w:rPr>
              <w:t>44.914.234</w:t>
            </w:r>
          </w:p>
        </w:tc>
        <w:tc>
          <w:tcPr>
            <w:tcW w:w="2614" w:type="dxa"/>
            <w:shd w:val="clear" w:color="auto" w:fill="C6D9F1" w:themeFill="text2" w:themeFillTint="33"/>
          </w:tcPr>
          <w:p w:rsidRPr="00576C36" w:rsidR="002F7C7C" w:rsidP="00F51F3D" w:rsidRDefault="002F7C7C" w14:paraId="2D8EE5E3" w14:textId="77777777">
            <w:pPr>
              <w:spacing w:line="336" w:lineRule="auto"/>
              <w:rPr>
                <w:rFonts w:ascii="Verdana" w:hAnsi="Verdana"/>
                <w:iCs/>
                <w:szCs w:val="18"/>
              </w:rPr>
            </w:pPr>
            <w:r>
              <w:rPr>
                <w:rFonts w:ascii="Verdana" w:hAnsi="Verdana"/>
                <w:iCs/>
                <w:szCs w:val="18"/>
              </w:rPr>
              <w:t>898.285</w:t>
            </w:r>
          </w:p>
        </w:tc>
      </w:tr>
    </w:tbl>
    <w:p w:rsidRPr="00576C36" w:rsidR="002F7C7C" w:rsidP="002F7C7C" w:rsidRDefault="002F7C7C" w14:paraId="0ED49AD5" w14:textId="77777777">
      <w:pPr>
        <w:spacing w:line="336" w:lineRule="auto"/>
        <w:rPr>
          <w:rFonts w:eastAsiaTheme="minorHAnsi" w:cstheme="minorBidi"/>
          <w:iCs/>
          <w:szCs w:val="18"/>
        </w:rPr>
      </w:pPr>
    </w:p>
    <w:p w:rsidR="002F7C7C" w:rsidP="002F7C7C" w:rsidRDefault="002F7C7C" w14:paraId="0D448A0A" w14:textId="77777777">
      <w:pPr>
        <w:spacing w:line="336" w:lineRule="auto"/>
        <w:rPr>
          <w:rFonts w:eastAsiaTheme="minorHAnsi" w:cstheme="minorBidi"/>
          <w:iCs/>
          <w:szCs w:val="18"/>
        </w:rPr>
      </w:pPr>
      <w:r w:rsidRPr="00576C36">
        <w:rPr>
          <w:rFonts w:eastAsiaTheme="minorHAnsi" w:cstheme="minorBidi"/>
          <w:iCs/>
          <w:szCs w:val="18"/>
        </w:rPr>
        <w:t xml:space="preserve">* o.b.v. </w:t>
      </w:r>
      <w:r>
        <w:rPr>
          <w:rFonts w:eastAsiaTheme="minorHAnsi" w:cstheme="minorBidi"/>
          <w:iCs/>
          <w:szCs w:val="18"/>
        </w:rPr>
        <w:t>jaarrekening</w:t>
      </w:r>
      <w:r w:rsidRPr="00576C36">
        <w:rPr>
          <w:rFonts w:eastAsiaTheme="minorHAnsi" w:cstheme="minorBidi"/>
          <w:iCs/>
          <w:szCs w:val="18"/>
        </w:rPr>
        <w:t xml:space="preserve"> 202</w:t>
      </w:r>
      <w:r>
        <w:rPr>
          <w:rFonts w:eastAsiaTheme="minorHAnsi" w:cstheme="minorBidi"/>
          <w:iCs/>
          <w:szCs w:val="18"/>
        </w:rPr>
        <w:t>5</w:t>
      </w:r>
    </w:p>
    <w:p w:rsidRPr="00576C36" w:rsidR="002F7C7C" w:rsidP="002F7C7C" w:rsidRDefault="002F7C7C" w14:paraId="06F953C7" w14:textId="77777777">
      <w:pPr>
        <w:spacing w:line="336" w:lineRule="auto"/>
        <w:rPr>
          <w:rFonts w:eastAsiaTheme="minorHAnsi" w:cstheme="minorBidi"/>
          <w:iCs/>
          <w:szCs w:val="18"/>
        </w:rPr>
      </w:pPr>
      <w:r>
        <w:rPr>
          <w:rFonts w:eastAsiaTheme="minorHAnsi" w:cstheme="minorBidi"/>
          <w:iCs/>
          <w:szCs w:val="18"/>
        </w:rPr>
        <w:t xml:space="preserve">In 2025 zijn er geen fouten en onzekerheden gevonden die boven de verantwoordingsgrens uitkomen. Omdat GGD Drenthe open en transparant wil zijn, zijn hieronder een aantal gevonden fouten toegelicht. </w:t>
      </w:r>
    </w:p>
    <w:p w:rsidRPr="002F7C7C" w:rsidR="002F7C7C" w:rsidP="002F7C7C" w:rsidRDefault="002F7C7C" w14:paraId="414A1FEA" w14:textId="77777777">
      <w:pPr>
        <w:rPr>
          <w:rFonts w:asciiTheme="minorHAnsi" w:hAnsiTheme="minorHAnsi"/>
          <w:b/>
          <w:bCs/>
          <w:sz w:val="22"/>
        </w:rPr>
      </w:pPr>
      <w:r w:rsidRPr="002F7C7C">
        <w:rPr>
          <w:rFonts w:asciiTheme="minorHAnsi" w:hAnsiTheme="minorHAnsi"/>
          <w:b/>
          <w:bCs/>
          <w:sz w:val="22"/>
        </w:rPr>
        <w:t>Begrotingscriterium</w:t>
      </w:r>
    </w:p>
    <w:p w:rsidRPr="002F7C7C" w:rsidR="002F7C7C" w:rsidP="00243D02" w:rsidRDefault="002F7C7C" w14:paraId="329DCF94" w14:textId="65A5BD7E">
      <w:pPr>
        <w:rPr>
          <w:rFonts w:asciiTheme="minorHAnsi" w:hAnsiTheme="minorHAnsi"/>
          <w:sz w:val="22"/>
        </w:rPr>
      </w:pPr>
      <w:r w:rsidRPr="002F7C7C">
        <w:rPr>
          <w:rFonts w:asciiTheme="minorHAnsi" w:hAnsiTheme="minorHAnsi"/>
          <w:sz w:val="22"/>
        </w:rPr>
        <w:t>In de bestuursrapportage na 8 maanden is aangegeven dat GGD Drenthe voor het boekjaar 2025 een negatief resultaat voor resultaatbestemming verwachte van € 173.000. Voor de programma’s Publieke Zorg &amp; Dienstverlening, Samen Veilig en het programma Bedrijfsvoering werd een tekort verwacht. Na afsluiten van het boekjaar 2025 is er op het programma Publieke Zorg &amp; Dienstverlening en Samen Veilig een overschrijding van de lasten ten opzichte van de door het Algemeen Bestuur vastgestelde begroting.</w:t>
      </w:r>
      <w:r w:rsidRPr="002F7C7C">
        <w:rPr>
          <w:rFonts w:asciiTheme="minorHAnsi" w:hAnsiTheme="minorHAnsi"/>
          <w:sz w:val="22"/>
        </w:rPr>
        <w:br/>
      </w:r>
    </w:p>
    <w:p w:rsidRPr="002F7C7C" w:rsidR="002F7C7C" w:rsidP="002F7C7C" w:rsidRDefault="002F7C7C" w14:paraId="6B312C5E" w14:textId="77777777">
      <w:pPr>
        <w:pStyle w:val="Lijstalinea"/>
        <w:numPr>
          <w:ilvl w:val="0"/>
          <w:numId w:val="7"/>
        </w:numPr>
        <w:autoSpaceDE w:val="0"/>
        <w:autoSpaceDN w:val="0"/>
        <w:adjustRightInd w:val="0"/>
        <w:snapToGrid w:val="0"/>
        <w:spacing w:line="276" w:lineRule="auto"/>
        <w:rPr>
          <w:rFonts w:eastAsia="Calibri" w:asciiTheme="minorHAnsi" w:hAnsiTheme="minorHAnsi"/>
          <w:sz w:val="22"/>
        </w:rPr>
      </w:pPr>
      <w:r w:rsidRPr="002F7C7C">
        <w:rPr>
          <w:rFonts w:eastAsia="Calibri" w:asciiTheme="minorHAnsi" w:hAnsiTheme="minorHAnsi"/>
          <w:sz w:val="22"/>
        </w:rPr>
        <w:t>Programma Publieke Zorg &amp; Gezondheid</w:t>
      </w:r>
    </w:p>
    <w:p w:rsidRPr="002F7C7C" w:rsidR="002F7C7C" w:rsidP="002F7C7C" w:rsidRDefault="002F7C7C" w14:paraId="587FF68D" w14:textId="77777777">
      <w:pPr>
        <w:autoSpaceDE w:val="0"/>
        <w:autoSpaceDN w:val="0"/>
        <w:adjustRightInd w:val="0"/>
        <w:snapToGrid w:val="0"/>
        <w:rPr>
          <w:rFonts w:asciiTheme="minorHAnsi" w:hAnsiTheme="minorHAnsi"/>
          <w:sz w:val="22"/>
        </w:rPr>
      </w:pPr>
      <w:r w:rsidRPr="002F7C7C">
        <w:rPr>
          <w:rFonts w:asciiTheme="minorHAnsi" w:hAnsiTheme="minorHAnsi"/>
          <w:sz w:val="22"/>
        </w:rPr>
        <w:t xml:space="preserve">De lasten van het programma Publieke Zorg &amp; Gezondheid zijn overschreden met € 56.000. Een aantal producten zijn positief en een aantal producten zijn negatief afgesloten. Belangrijkste oorzaken voor het overschrijden van de begroting zijn het inhuren vanwege invulling vacatures en inhuur externe medewerkers team O&amp;S vanwege hoog ziekteverzuim. </w:t>
      </w:r>
    </w:p>
    <w:p w:rsidRPr="002F7C7C" w:rsidR="002F7C7C" w:rsidP="002F7C7C" w:rsidRDefault="002F7C7C" w14:paraId="0309F21B" w14:textId="77777777">
      <w:pPr>
        <w:pStyle w:val="Lijstalinea"/>
        <w:numPr>
          <w:ilvl w:val="0"/>
          <w:numId w:val="7"/>
        </w:numPr>
        <w:autoSpaceDE w:val="0"/>
        <w:autoSpaceDN w:val="0"/>
        <w:adjustRightInd w:val="0"/>
        <w:snapToGrid w:val="0"/>
        <w:spacing w:line="276" w:lineRule="auto"/>
        <w:rPr>
          <w:rFonts w:eastAsia="Calibri" w:asciiTheme="minorHAnsi" w:hAnsiTheme="minorHAnsi"/>
          <w:sz w:val="22"/>
        </w:rPr>
      </w:pPr>
      <w:r w:rsidRPr="002F7C7C">
        <w:rPr>
          <w:rFonts w:eastAsia="Calibri" w:asciiTheme="minorHAnsi" w:hAnsiTheme="minorHAnsi"/>
          <w:sz w:val="22"/>
        </w:rPr>
        <w:t>Samen Veilig</w:t>
      </w:r>
    </w:p>
    <w:p w:rsidRPr="002F7C7C" w:rsidR="002F7C7C" w:rsidP="002F7C7C" w:rsidRDefault="002F7C7C" w14:paraId="2F99AC22" w14:textId="77777777">
      <w:pPr>
        <w:autoSpaceDE w:val="0"/>
        <w:autoSpaceDN w:val="0"/>
        <w:adjustRightInd w:val="0"/>
        <w:snapToGrid w:val="0"/>
        <w:rPr>
          <w:rFonts w:asciiTheme="minorHAnsi" w:hAnsiTheme="minorHAnsi"/>
          <w:sz w:val="22"/>
        </w:rPr>
      </w:pPr>
      <w:r w:rsidRPr="002F7C7C">
        <w:rPr>
          <w:rFonts w:asciiTheme="minorHAnsi" w:hAnsiTheme="minorHAnsi"/>
          <w:sz w:val="22"/>
        </w:rPr>
        <w:t>De lasten van het programma Samen Veilig zijn overschreden met € 147.000. Dit wordt voornamelijk veroorzaakt door de implementatiekosten en dubbele licentielasten voor het nieuwe primaire informatiesysteem voor VTD.</w:t>
      </w:r>
    </w:p>
    <w:p w:rsidRPr="002F7C7C" w:rsidR="002F7C7C" w:rsidP="002F7C7C" w:rsidRDefault="002F7C7C" w14:paraId="40602B0A" w14:textId="77777777">
      <w:pPr>
        <w:rPr>
          <w:rFonts w:asciiTheme="minorHAnsi" w:hAnsiTheme="minorHAnsi"/>
          <w:b/>
          <w:bCs/>
          <w:sz w:val="22"/>
        </w:rPr>
      </w:pPr>
      <w:r w:rsidRPr="002F7C7C">
        <w:rPr>
          <w:rFonts w:asciiTheme="minorHAnsi" w:hAnsiTheme="minorHAnsi"/>
          <w:b/>
          <w:bCs/>
          <w:sz w:val="22"/>
        </w:rPr>
        <w:t>Voorwaardencriterium</w:t>
      </w:r>
    </w:p>
    <w:p w:rsidRPr="002F7C7C" w:rsidR="002F7C7C" w:rsidP="002F7C7C" w:rsidRDefault="002F7C7C" w14:paraId="445FF207" w14:textId="77777777">
      <w:pPr>
        <w:autoSpaceDE w:val="0"/>
        <w:autoSpaceDN w:val="0"/>
        <w:adjustRightInd w:val="0"/>
        <w:snapToGrid w:val="0"/>
        <w:rPr>
          <w:rFonts w:asciiTheme="minorHAnsi" w:hAnsiTheme="minorHAnsi"/>
          <w:sz w:val="22"/>
        </w:rPr>
      </w:pPr>
      <w:r w:rsidRPr="002F7C7C">
        <w:rPr>
          <w:rFonts w:asciiTheme="minorHAnsi" w:hAnsiTheme="minorHAnsi"/>
          <w:sz w:val="22"/>
        </w:rPr>
        <w:t xml:space="preserve">De controles zijn uitgevoerd op basis van het interne controleplan. In het inkoopproces doen zich twee situaties voor die in het kader van de rechtmatigheidsverantwoording naar voren gebracht moeten worden. </w:t>
      </w:r>
    </w:p>
    <w:p w:rsidRPr="002F7C7C" w:rsidR="002F7C7C" w:rsidP="002F7C7C" w:rsidRDefault="002F7C7C" w14:paraId="133F6649" w14:textId="77777777">
      <w:pPr>
        <w:pStyle w:val="Lijstalinea"/>
        <w:numPr>
          <w:ilvl w:val="0"/>
          <w:numId w:val="7"/>
        </w:numPr>
        <w:autoSpaceDE w:val="0"/>
        <w:autoSpaceDN w:val="0"/>
        <w:adjustRightInd w:val="0"/>
        <w:snapToGrid w:val="0"/>
        <w:spacing w:line="276" w:lineRule="auto"/>
        <w:rPr>
          <w:rFonts w:eastAsia="Calibri" w:asciiTheme="minorHAnsi" w:hAnsiTheme="minorHAnsi"/>
          <w:sz w:val="22"/>
        </w:rPr>
      </w:pPr>
      <w:r w:rsidRPr="002F7C7C">
        <w:rPr>
          <w:rFonts w:eastAsia="Calibri" w:asciiTheme="minorHAnsi" w:hAnsiTheme="minorHAnsi"/>
          <w:sz w:val="22"/>
        </w:rPr>
        <w:t>Salarisadministratie</w:t>
      </w:r>
    </w:p>
    <w:p w:rsidRPr="002F7C7C" w:rsidR="002F7C7C" w:rsidP="002F7C7C" w:rsidRDefault="002F7C7C" w14:paraId="0243AC88" w14:textId="77777777">
      <w:pPr>
        <w:autoSpaceDE w:val="0"/>
        <w:autoSpaceDN w:val="0"/>
        <w:adjustRightInd w:val="0"/>
        <w:snapToGrid w:val="0"/>
        <w:rPr>
          <w:rFonts w:asciiTheme="minorHAnsi" w:hAnsiTheme="minorHAnsi"/>
          <w:sz w:val="22"/>
        </w:rPr>
      </w:pPr>
      <w:r w:rsidRPr="002F7C7C">
        <w:rPr>
          <w:rFonts w:asciiTheme="minorHAnsi" w:hAnsiTheme="minorHAnsi"/>
          <w:sz w:val="22"/>
        </w:rPr>
        <w:t>Voor het leveren van diensten op het gebied van salarisadministratie is een overeenkomst afgesloten. Door prijsverhogingen en jaarlijkse verlenging van de opdracht gaat deze over de grens voor EU aanbestedingen. Om de integratie van de salarisadministratie van GGD en VRD mogelijk te maken is het nodig de inzet van de huidige aanbieder voort te zetten gedurende de uit te voeren haalbaarheidsonderzoeken voor integratie. Deze situatie zal zich in ieder geval ook nog in 2026 voortzetten.</w:t>
      </w:r>
    </w:p>
    <w:p w:rsidRPr="002F7C7C" w:rsidR="002F7C7C" w:rsidP="002F7C7C" w:rsidRDefault="002F7C7C" w14:paraId="793E7EBF" w14:textId="77777777">
      <w:pPr>
        <w:autoSpaceDE w:val="0"/>
        <w:autoSpaceDN w:val="0"/>
        <w:adjustRightInd w:val="0"/>
        <w:snapToGrid w:val="0"/>
        <w:rPr>
          <w:rFonts w:asciiTheme="minorHAnsi" w:hAnsiTheme="minorHAnsi"/>
          <w:sz w:val="22"/>
        </w:rPr>
      </w:pPr>
    </w:p>
    <w:p w:rsidRPr="002F7C7C" w:rsidR="002F7C7C" w:rsidP="002F7C7C" w:rsidRDefault="002F7C7C" w14:paraId="6D915F12" w14:textId="77777777">
      <w:pPr>
        <w:pStyle w:val="Lijstalinea"/>
        <w:numPr>
          <w:ilvl w:val="0"/>
          <w:numId w:val="7"/>
        </w:numPr>
        <w:autoSpaceDE w:val="0"/>
        <w:autoSpaceDN w:val="0"/>
        <w:adjustRightInd w:val="0"/>
        <w:snapToGrid w:val="0"/>
        <w:spacing w:line="276" w:lineRule="auto"/>
        <w:rPr>
          <w:rFonts w:eastAsia="Calibri" w:asciiTheme="minorHAnsi" w:hAnsiTheme="minorHAnsi"/>
          <w:sz w:val="22"/>
        </w:rPr>
      </w:pPr>
      <w:r w:rsidRPr="002F7C7C">
        <w:rPr>
          <w:rFonts w:eastAsia="Calibri" w:asciiTheme="minorHAnsi" w:hAnsiTheme="minorHAnsi"/>
          <w:sz w:val="22"/>
        </w:rPr>
        <w:lastRenderedPageBreak/>
        <w:t>Netwerk infrastructuur</w:t>
      </w:r>
    </w:p>
    <w:p w:rsidRPr="002F7C7C" w:rsidR="002F7C7C" w:rsidP="002F7C7C" w:rsidRDefault="002F7C7C" w14:paraId="7CF925DA" w14:textId="77777777">
      <w:pPr>
        <w:autoSpaceDE w:val="0"/>
        <w:autoSpaceDN w:val="0"/>
        <w:adjustRightInd w:val="0"/>
        <w:snapToGrid w:val="0"/>
        <w:rPr>
          <w:rFonts w:asciiTheme="minorHAnsi" w:hAnsiTheme="minorHAnsi"/>
          <w:sz w:val="22"/>
        </w:rPr>
      </w:pPr>
      <w:r w:rsidRPr="002F7C7C">
        <w:rPr>
          <w:rFonts w:asciiTheme="minorHAnsi" w:hAnsiTheme="minorHAnsi"/>
          <w:sz w:val="22"/>
        </w:rPr>
        <w:t>GGD Drenthe koopt samen met Veiligheidsregio Drenthe de netwerk infrastructuur voor beide organisaties in. De opdracht is gegund na een meervoudig onderhandse aanbesteding. Door aanvullende opdrachten binnen het contract is over de grens voor EU aanbestedingen gegaan. De inkoop van de netwerk infrastructuur is inmiddels opgenomen op de aanbestedingskalender. In het najaar van 2025 zal oriëntatie plaatsvinden en in 2026 zijn we voornemens de opdracht in de markt te zetten.</w:t>
      </w:r>
    </w:p>
    <w:p w:rsidRPr="002F7C7C" w:rsidR="002F7C7C" w:rsidP="002F7C7C" w:rsidRDefault="002F7C7C" w14:paraId="6EA2342D" w14:textId="77777777">
      <w:pPr>
        <w:autoSpaceDE w:val="0"/>
        <w:autoSpaceDN w:val="0"/>
        <w:adjustRightInd w:val="0"/>
        <w:snapToGrid w:val="0"/>
        <w:rPr>
          <w:rFonts w:asciiTheme="minorHAnsi" w:hAnsiTheme="minorHAnsi"/>
          <w:sz w:val="22"/>
        </w:rPr>
      </w:pPr>
      <w:r w:rsidRPr="002F7C7C">
        <w:rPr>
          <w:rFonts w:asciiTheme="minorHAnsi" w:hAnsiTheme="minorHAnsi"/>
          <w:sz w:val="22"/>
        </w:rPr>
        <w:t>Er zijn, behalve de al genoemde aandachtspunten ten aanzien van de aanbestedingen, geen verdere rechtmatigheidsfouten gevonden tijdens het uitvoeren van de interne controlewerkzaamheden.</w:t>
      </w:r>
    </w:p>
    <w:p w:rsidRPr="002F7C7C" w:rsidR="002F7C7C" w:rsidP="002F7C7C" w:rsidRDefault="002F7C7C" w14:paraId="478BE0A0" w14:textId="77777777">
      <w:pPr>
        <w:rPr>
          <w:rFonts w:asciiTheme="minorHAnsi" w:hAnsiTheme="minorHAnsi"/>
          <w:b/>
          <w:bCs/>
          <w:sz w:val="22"/>
        </w:rPr>
      </w:pPr>
      <w:r w:rsidRPr="002F7C7C">
        <w:rPr>
          <w:rFonts w:asciiTheme="minorHAnsi" w:hAnsiTheme="minorHAnsi"/>
          <w:b/>
          <w:bCs/>
          <w:sz w:val="22"/>
        </w:rPr>
        <w:t>Misbruik en oneigenlijk gebruik</w:t>
      </w:r>
    </w:p>
    <w:p w:rsidRPr="002F7C7C" w:rsidR="002F7C7C" w:rsidP="002F7C7C" w:rsidRDefault="002F7C7C" w14:paraId="5C354712" w14:textId="77777777">
      <w:pPr>
        <w:autoSpaceDE w:val="0"/>
        <w:autoSpaceDN w:val="0"/>
        <w:adjustRightInd w:val="0"/>
        <w:snapToGrid w:val="0"/>
        <w:rPr>
          <w:rFonts w:asciiTheme="minorHAnsi" w:hAnsiTheme="minorHAnsi"/>
          <w:sz w:val="22"/>
        </w:rPr>
      </w:pPr>
      <w:r w:rsidRPr="002F7C7C">
        <w:rPr>
          <w:rFonts w:asciiTheme="minorHAnsi" w:hAnsiTheme="minorHAnsi"/>
          <w:sz w:val="22"/>
        </w:rPr>
        <w:t xml:space="preserve">Om de risico’s op misbruik en oneigenlijk gebruik in kaart te brengen is een risicoanalyse opgesteld. Vastgesteld is dat de organisatie voldoende maatregelen heeft getroffen om misbruik en oneigenlijk gebruik te voorkomen. De risico’s zijn meegenomen in het interne controleplan. De controles zijn uitgevoerd op basis van het interne controleplan. Tijdens het uitvoeren van de interne controle werkzaamheden zijn geen rechtmatigheidsfouten gevonden. </w:t>
      </w:r>
    </w:p>
    <w:p w:rsidRPr="00E566EE" w:rsidR="002F7C7C" w:rsidP="00D86A66" w:rsidRDefault="002F7C7C" w14:paraId="405746DF" w14:textId="34149737">
      <w:pPr>
        <w:spacing w:after="0" w:line="240" w:lineRule="auto"/>
        <w:rPr>
          <w:rFonts w:eastAsia="Times New Roman" w:asciiTheme="minorHAnsi" w:hAnsiTheme="minorHAnsi" w:cstheme="minorHAnsi"/>
          <w:sz w:val="22"/>
          <w:lang w:eastAsia="nl-NL"/>
        </w:rPr>
      </w:pPr>
    </w:p>
    <w:sectPr w:rsidRPr="00E566EE" w:rsidR="002F7C7C" w:rsidSect="004F63AE">
      <w:headerReference w:type="default" r:id="rId11"/>
      <w:footerReference w:type="default" r:id="rId12"/>
      <w:headerReference w:type="first" r:id="rId13"/>
      <w:footerReference w:type="first" r:id="rId14"/>
      <w:type w:val="continuous"/>
      <w:pgSz w:w="11906" w:h="16838" w:orient="portrait" w:code="9"/>
      <w:pgMar w:top="1985" w:right="1814" w:bottom="993" w:left="1871" w:header="567"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868" w:rsidP="00616293" w:rsidRDefault="006B3868" w14:paraId="55D8DB71" w14:textId="77777777">
      <w:pPr>
        <w:spacing w:after="0" w:line="240" w:lineRule="auto"/>
      </w:pPr>
      <w:r>
        <w:separator/>
      </w:r>
    </w:p>
    <w:p w:rsidR="006B3868" w:rsidRDefault="006B3868" w14:paraId="7B675603" w14:textId="77777777"/>
  </w:endnote>
  <w:endnote w:type="continuationSeparator" w:id="0">
    <w:p w:rsidR="006B3868" w:rsidP="00616293" w:rsidRDefault="006B3868" w14:paraId="48178BB3" w14:textId="77777777">
      <w:pPr>
        <w:spacing w:after="0" w:line="240" w:lineRule="auto"/>
      </w:pPr>
      <w:r>
        <w:continuationSeparator/>
      </w:r>
    </w:p>
    <w:p w:rsidR="006B3868" w:rsidRDefault="006B3868" w14:paraId="4A571D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4F63AE" w:rsidR="00272C73" w:rsidRDefault="00272C73" w14:paraId="03CE2A23" w14:textId="77777777">
    <w:pPr>
      <w:pStyle w:val="Voettekst"/>
      <w:rPr>
        <w:rFonts w:asciiTheme="minorHAnsi" w:hAnsiTheme="minorHAnsi"/>
        <w:i/>
      </w:rPr>
    </w:pPr>
    <w:r w:rsidRPr="004F63AE">
      <w:rPr>
        <w:rFonts w:asciiTheme="minorHAnsi" w:hAnsiTheme="minorHAnsi"/>
        <w:i/>
        <w:noProof/>
        <w:lang w:eastAsia="nl-NL"/>
      </w:rPr>
      <mc:AlternateContent>
        <mc:Choice Requires="wps">
          <w:drawing>
            <wp:anchor distT="0" distB="0" distL="114300" distR="114300" simplePos="0" relativeHeight="251658240" behindDoc="0" locked="0" layoutInCell="1" allowOverlap="1" wp14:anchorId="03CE2A38" wp14:editId="03CE2A39">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313675" w:rsidR="00272C73" w:rsidP="007F09BB" w:rsidRDefault="00272C73" w14:paraId="03CE2A3D" w14:textId="77777777">
                          <w:pPr>
                            <w:pBdr>
                              <w:top w:val="single" w:color="7F7F7F" w:sz="4" w:space="1"/>
                            </w:pBdr>
                            <w:jc w:val="center"/>
                          </w:pPr>
                          <w:r w:rsidRPr="00313675">
                            <w:fldChar w:fldCharType="begin"/>
                          </w:r>
                          <w:r w:rsidRPr="00313675">
                            <w:instrText>PAGE   \* MERGEFORMAT</w:instrText>
                          </w:r>
                          <w:r w:rsidRPr="00313675">
                            <w:fldChar w:fldCharType="separate"/>
                          </w:r>
                          <w:r w:rsidR="008F2D4E">
                            <w:rPr>
                              <w:noProof/>
                            </w:rPr>
                            <w:t>4</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w:pict>
            <v:rect id="Rechthoek 650"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spid="_x0000_s1026" filled="f" fillcolor="#c0504d" stroked="f" strokecolor="#5c83b4" strokeweight="2.25pt" w14:anchorId="03CE2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v:textbox inset=",0,,0">
                <w:txbxContent>
                  <w:p w:rsidRPr="00313675" w:rsidR="00272C73" w:rsidP="007F09BB" w:rsidRDefault="00272C73" w14:paraId="03CE2A3D" w14:textId="77777777">
                    <w:pPr>
                      <w:pBdr>
                        <w:top w:val="single" w:color="7F7F7F" w:sz="4" w:space="1"/>
                      </w:pBdr>
                      <w:jc w:val="center"/>
                    </w:pPr>
                    <w:r w:rsidRPr="00313675">
                      <w:fldChar w:fldCharType="begin"/>
                    </w:r>
                    <w:r w:rsidRPr="00313675">
                      <w:instrText>PAGE   \* MERGEFORMAT</w:instrText>
                    </w:r>
                    <w:r w:rsidRPr="00313675">
                      <w:fldChar w:fldCharType="separate"/>
                    </w:r>
                    <w:r w:rsidR="008F2D4E">
                      <w:rPr>
                        <w:noProof/>
                      </w:rPr>
                      <w:t>4</w:t>
                    </w:r>
                    <w:r w:rsidRPr="00313675">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0" w:type="auto"/>
      <w:tblBorders>
        <w:top w:val="single" w:color="000000" w:sz="4" w:space="0"/>
        <w:left w:val="single" w:color="000000" w:sz="4" w:space="0"/>
        <w:bottom w:val="single" w:color="000000" w:sz="4" w:space="0"/>
        <w:right w:val="single" w:color="000000" w:sz="4" w:space="0"/>
      </w:tblBorders>
      <w:tblLook w:val="04A0" w:firstRow="1" w:lastRow="0" w:firstColumn="1" w:lastColumn="0" w:noHBand="0" w:noVBand="1"/>
    </w:tblPr>
    <w:tblGrid>
      <w:gridCol w:w="4105"/>
      <w:gridCol w:w="4106"/>
    </w:tblGrid>
    <w:tr w:rsidRPr="002450EB" w:rsidR="00272C73" w:rsidTr="00C23AA2" w14:paraId="03CE2A27" w14:textId="77777777">
      <w:tc>
        <w:tcPr>
          <w:tcW w:w="4180" w:type="dxa"/>
        </w:tcPr>
        <w:p w:rsidRPr="009F1ADC" w:rsidR="00272C73" w:rsidP="00C23AA2" w:rsidRDefault="00272C73" w14:paraId="03CE2A25" w14:textId="77777777">
          <w:pPr>
            <w:spacing w:after="0" w:line="240" w:lineRule="auto"/>
            <w:rPr>
              <w:rFonts w:ascii="Calibri" w:hAnsi="Calibri"/>
              <w:b/>
              <w:i/>
              <w:sz w:val="20"/>
            </w:rPr>
          </w:pPr>
          <w:r w:rsidRPr="009F1ADC">
            <w:rPr>
              <w:rFonts w:ascii="Calibri" w:hAnsi="Calibri"/>
              <w:b/>
              <w:i/>
              <w:sz w:val="22"/>
            </w:rPr>
            <w:t>Besluit</w:t>
          </w:r>
        </w:p>
      </w:tc>
      <w:tc>
        <w:tcPr>
          <w:tcW w:w="4181" w:type="dxa"/>
        </w:tcPr>
        <w:p w:rsidRPr="000059D2" w:rsidR="00272C73" w:rsidP="00C23AA2" w:rsidRDefault="00272C73" w14:paraId="03CE2A26" w14:textId="77777777">
          <w:pPr>
            <w:spacing w:after="0" w:line="240" w:lineRule="auto"/>
            <w:rPr>
              <w:sz w:val="20"/>
            </w:rPr>
          </w:pPr>
        </w:p>
      </w:tc>
    </w:tr>
    <w:tr w:rsidRPr="002450EB" w:rsidR="00272C73" w:rsidTr="00C23AA2" w14:paraId="03CE2A2D" w14:textId="77777777">
      <w:trPr>
        <w:trHeight w:val="1474" w:hRule="exact"/>
      </w:trPr>
      <w:tc>
        <w:tcPr>
          <w:tcW w:w="8361" w:type="dxa"/>
          <w:gridSpan w:val="2"/>
        </w:tcPr>
        <w:p w:rsidRPr="002450EB" w:rsidR="00272C73" w:rsidP="00C23AA2" w:rsidRDefault="00272C73" w14:paraId="03CE2A28" w14:textId="77777777">
          <w:pPr>
            <w:spacing w:after="0" w:line="240" w:lineRule="auto"/>
          </w:pPr>
        </w:p>
        <w:p w:rsidRPr="002450EB" w:rsidR="00272C73" w:rsidP="00C23AA2" w:rsidRDefault="00272C73" w14:paraId="03CE2A29" w14:textId="77777777">
          <w:pPr>
            <w:spacing w:after="0" w:line="240" w:lineRule="auto"/>
          </w:pPr>
        </w:p>
        <w:p w:rsidRPr="002450EB" w:rsidR="00272C73" w:rsidP="00C23AA2" w:rsidRDefault="00272C73" w14:paraId="03CE2A2A" w14:textId="77777777">
          <w:pPr>
            <w:spacing w:after="0" w:line="240" w:lineRule="auto"/>
          </w:pPr>
        </w:p>
        <w:p w:rsidRPr="002450EB" w:rsidR="00272C73" w:rsidP="00C23AA2" w:rsidRDefault="00272C73" w14:paraId="03CE2A2B" w14:textId="77777777">
          <w:pPr>
            <w:spacing w:after="0" w:line="240" w:lineRule="auto"/>
          </w:pPr>
        </w:p>
        <w:p w:rsidRPr="002450EB" w:rsidR="00272C73" w:rsidP="00C23AA2" w:rsidRDefault="00272C73" w14:paraId="03CE2A2C" w14:textId="77777777">
          <w:pPr>
            <w:spacing w:after="0" w:line="240" w:lineRule="auto"/>
          </w:pPr>
        </w:p>
      </w:tc>
    </w:tr>
    <w:tr w:rsidRPr="002450EB" w:rsidR="00272C73" w:rsidTr="00C23AA2" w14:paraId="03CE2A30" w14:textId="77777777">
      <w:tc>
        <w:tcPr>
          <w:tcW w:w="4180" w:type="dxa"/>
        </w:tcPr>
        <w:p w:rsidRPr="009F1ADC" w:rsidR="00272C73" w:rsidP="00C23AA2" w:rsidRDefault="00272C73" w14:paraId="03CE2A2E" w14:textId="77777777">
          <w:pPr>
            <w:spacing w:after="0" w:line="240" w:lineRule="auto"/>
            <w:rPr>
              <w:rFonts w:ascii="Calibri" w:hAnsi="Calibri"/>
              <w:i/>
              <w:sz w:val="22"/>
            </w:rPr>
          </w:pPr>
          <w:r w:rsidRPr="009F1ADC">
            <w:rPr>
              <w:rFonts w:ascii="Calibri" w:hAnsi="Calibri"/>
              <w:i/>
              <w:sz w:val="22"/>
            </w:rPr>
            <w:t>Paraaf:</w:t>
          </w:r>
        </w:p>
      </w:tc>
      <w:tc>
        <w:tcPr>
          <w:tcW w:w="4181" w:type="dxa"/>
        </w:tcPr>
        <w:p w:rsidRPr="009F1ADC" w:rsidR="00272C73" w:rsidP="00C23AA2" w:rsidRDefault="00272C73" w14:paraId="03CE2A2F" w14:textId="77777777">
          <w:pPr>
            <w:spacing w:after="0" w:line="240" w:lineRule="auto"/>
            <w:rPr>
              <w:rFonts w:ascii="Calibri" w:hAnsi="Calibri"/>
              <w:i/>
              <w:sz w:val="22"/>
            </w:rPr>
          </w:pPr>
          <w:r w:rsidRPr="009F1ADC">
            <w:rPr>
              <w:rFonts w:ascii="Calibri" w:hAnsi="Calibri"/>
              <w:i/>
              <w:sz w:val="22"/>
            </w:rPr>
            <w:t>Datum:</w:t>
          </w:r>
        </w:p>
      </w:tc>
    </w:tr>
    <w:tr w:rsidRPr="002450EB" w:rsidR="00272C73" w:rsidTr="00C23AA2" w14:paraId="03CE2A33" w14:textId="77777777">
      <w:tc>
        <w:tcPr>
          <w:tcW w:w="4180" w:type="dxa"/>
        </w:tcPr>
        <w:p w:rsidRPr="009F1ADC" w:rsidR="00272C73" w:rsidP="00C23AA2" w:rsidRDefault="00272C73" w14:paraId="03CE2A31" w14:textId="77777777">
          <w:pPr>
            <w:spacing w:after="0" w:line="240" w:lineRule="auto"/>
            <w:rPr>
              <w:rFonts w:ascii="Calibri" w:hAnsi="Calibri"/>
              <w:i/>
              <w:sz w:val="22"/>
            </w:rPr>
          </w:pPr>
        </w:p>
      </w:tc>
      <w:tc>
        <w:tcPr>
          <w:tcW w:w="4181" w:type="dxa"/>
        </w:tcPr>
        <w:p w:rsidRPr="009F1ADC" w:rsidR="00272C73" w:rsidP="00C23AA2" w:rsidRDefault="00272C73" w14:paraId="03CE2A32" w14:textId="77777777">
          <w:pPr>
            <w:spacing w:after="0" w:line="240" w:lineRule="auto"/>
            <w:rPr>
              <w:rFonts w:ascii="Calibri" w:hAnsi="Calibri"/>
              <w:i/>
              <w:sz w:val="22"/>
            </w:rPr>
          </w:pPr>
        </w:p>
      </w:tc>
    </w:tr>
  </w:tbl>
  <w:p w:rsidR="00272C73" w:rsidRDefault="00272C73" w14:paraId="03CE2A34" w14:textId="77777777">
    <w:pPr>
      <w:pStyle w:val="Voettekst"/>
    </w:pPr>
  </w:p>
  <w:p w:rsidRPr="004F63AE" w:rsidR="00272C73" w:rsidRDefault="00272C73" w14:paraId="03CE2A35" w14:textId="77777777">
    <w:pPr>
      <w:pStyle w:val="Voettekst"/>
      <w:rPr>
        <w:rFonts w:asciiTheme="minorHAnsi" w:hAnsiTheme="minorHAnsi"/>
        <w:i/>
      </w:rPr>
    </w:pPr>
    <w:r w:rsidRPr="004F63AE">
      <w:rPr>
        <w:rFonts w:asciiTheme="minorHAnsi" w:hAnsiTheme="minorHAnsi"/>
        <w:i/>
        <w:noProof/>
        <w:lang w:eastAsia="nl-NL"/>
      </w:rPr>
      <mc:AlternateContent>
        <mc:Choice Requires="wps">
          <w:drawing>
            <wp:anchor distT="0" distB="0" distL="114300" distR="114300" simplePos="0" relativeHeight="251657216" behindDoc="0" locked="0" layoutInCell="1" allowOverlap="1" wp14:anchorId="03CE2A3B" wp14:editId="03CE2A3C">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313675" w:rsidR="00272C73" w:rsidP="007F09BB" w:rsidRDefault="00272C73" w14:paraId="03CE2A3E" w14:textId="77777777">
                          <w:pPr>
                            <w:pBdr>
                              <w:top w:val="single" w:color="7F7F7F" w:sz="4" w:space="1"/>
                            </w:pBdr>
                            <w:jc w:val="center"/>
                          </w:pPr>
                          <w:r w:rsidRPr="00313675">
                            <w:fldChar w:fldCharType="begin"/>
                          </w:r>
                          <w:r w:rsidRPr="00313675">
                            <w:instrText>PAGE   \* MERGEFORMAT</w:instrText>
                          </w:r>
                          <w:r w:rsidRPr="00313675">
                            <w:fldChar w:fldCharType="separate"/>
                          </w:r>
                          <w:r w:rsidR="008F2D4E">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w:pict>
            <v:rect 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filled="f" fillcolor="#c0504d" stroked="f" strokecolor="#5c83b4" strokeweight="2.25pt" w14:anchorId="03CE2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v:textbox inset=",0,,0">
                <w:txbxContent>
                  <w:p w:rsidRPr="00313675" w:rsidR="00272C73" w:rsidP="007F09BB" w:rsidRDefault="00272C73" w14:paraId="03CE2A3E" w14:textId="77777777">
                    <w:pPr>
                      <w:pBdr>
                        <w:top w:val="single" w:color="7F7F7F" w:sz="4" w:space="1"/>
                      </w:pBdr>
                      <w:jc w:val="center"/>
                    </w:pPr>
                    <w:r w:rsidRPr="00313675">
                      <w:fldChar w:fldCharType="begin"/>
                    </w:r>
                    <w:r w:rsidRPr="00313675">
                      <w:instrText>PAGE   \* MERGEFORMAT</w:instrText>
                    </w:r>
                    <w:r w:rsidRPr="00313675">
                      <w:fldChar w:fldCharType="separate"/>
                    </w:r>
                    <w:r w:rsidR="008F2D4E">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868" w:rsidP="00616293" w:rsidRDefault="006B3868" w14:paraId="2BFD8771" w14:textId="77777777">
      <w:pPr>
        <w:spacing w:after="0" w:line="240" w:lineRule="auto"/>
      </w:pPr>
      <w:r>
        <w:separator/>
      </w:r>
    </w:p>
    <w:p w:rsidR="006B3868" w:rsidRDefault="006B3868" w14:paraId="3841BDF0" w14:textId="77777777"/>
  </w:footnote>
  <w:footnote w:type="continuationSeparator" w:id="0">
    <w:p w:rsidR="006B3868" w:rsidP="00616293" w:rsidRDefault="006B3868" w14:paraId="6F780CEC" w14:textId="77777777">
      <w:pPr>
        <w:spacing w:after="0" w:line="240" w:lineRule="auto"/>
      </w:pPr>
      <w:r>
        <w:continuationSeparator/>
      </w:r>
    </w:p>
    <w:p w:rsidR="006B3868" w:rsidRDefault="006B3868" w14:paraId="6B94B3A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272C73" w:rsidTr="000059D2" w14:paraId="03CE2A1F" w14:textId="77777777">
      <w:tc>
        <w:tcPr>
          <w:tcW w:w="2787" w:type="dxa"/>
        </w:tcPr>
        <w:p w:rsidRPr="000059D2" w:rsidR="00272C73" w:rsidP="007F62BC" w:rsidRDefault="00272C73" w14:paraId="03CE2A1B" w14:textId="77777777">
          <w:pPr>
            <w:pStyle w:val="Sjabloontabellen"/>
          </w:pPr>
          <w:r>
            <w:rPr>
              <w:noProof/>
              <w:lang w:eastAsia="nl-NL"/>
            </w:rPr>
            <w:drawing>
              <wp:anchor distT="0" distB="0" distL="114300" distR="114300" simplePos="0" relativeHeight="251656192" behindDoc="1" locked="0" layoutInCell="0" allowOverlap="1" wp14:anchorId="03CE2A36" wp14:editId="03CE2A37">
                <wp:simplePos x="0" y="0"/>
                <wp:positionH relativeFrom="margin">
                  <wp:posOffset>-1171575</wp:posOffset>
                </wp:positionH>
                <wp:positionV relativeFrom="margin">
                  <wp:posOffset>-1330325</wp:posOffset>
                </wp:positionV>
                <wp:extent cx="7559040" cy="10692130"/>
                <wp:effectExtent l="0" t="0" r="3810" b="0"/>
                <wp:wrapNone/>
                <wp:docPr id="3" name="Afbeelding 3" desc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rsidRPr="000059D2" w:rsidR="00272C73" w:rsidP="007F62BC" w:rsidRDefault="00272C73" w14:paraId="03CE2A1C" w14:textId="77777777">
          <w:pPr>
            <w:pStyle w:val="Sjabloontabellen"/>
            <w:rPr>
              <w:b/>
            </w:rPr>
          </w:pPr>
          <w:r w:rsidRPr="000059D2">
            <w:rPr>
              <w:b/>
            </w:rPr>
            <w:tab/>
          </w:r>
        </w:p>
        <w:p w:rsidRPr="000059D2" w:rsidR="00272C73" w:rsidP="00A065B8" w:rsidRDefault="00272C73" w14:paraId="03CE2A1D" w14:textId="77777777">
          <w:pPr>
            <w:pStyle w:val="Sjabloontabellen"/>
          </w:pPr>
        </w:p>
      </w:tc>
      <w:tc>
        <w:tcPr>
          <w:tcW w:w="2787" w:type="dxa"/>
        </w:tcPr>
        <w:p w:rsidRPr="000059D2" w:rsidR="00272C73" w:rsidP="003458A4" w:rsidRDefault="00272C73" w14:paraId="03CE2A1E" w14:textId="77777777">
          <w:pPr>
            <w:pStyle w:val="Sjabloontabellen"/>
          </w:pPr>
        </w:p>
      </w:tc>
    </w:tr>
  </w:tbl>
  <w:p w:rsidR="00272C73" w:rsidRDefault="00272C73" w14:paraId="03CE2A20" w14:textId="77777777">
    <w:pPr>
      <w:pStyle w:val="Koptekst"/>
    </w:pPr>
  </w:p>
  <w:p w:rsidR="00272C73" w:rsidRDefault="00272C73" w14:paraId="03CE2A21" w14:textId="77777777"/>
  <w:p w:rsidR="00272C73" w:rsidRDefault="00272C73" w14:paraId="03CE2A2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7624" w:rsidR="00272C73" w:rsidRDefault="006B3868" w14:paraId="03CE2A24" w14:textId="77777777">
    <w:pPr>
      <w:pStyle w:val="Koptekst"/>
      <w:rPr>
        <w:b/>
        <w:sz w:val="28"/>
        <w:szCs w:val="28"/>
      </w:rPr>
    </w:pPr>
    <w:r>
      <w:rPr>
        <w:b/>
        <w:noProof/>
        <w:sz w:val="28"/>
        <w:szCs w:val="28"/>
        <w:lang w:eastAsia="nl-NL"/>
      </w:rPr>
      <w:pict w14:anchorId="03CE2A3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490550" style="position:absolute;margin-left:-92.3pt;margin-top:-95.65pt;width:595.2pt;height:841.9pt;z-index:-251657216;mso-position-horizontal-relative:margin;mso-position-vertical-relative:margin" o:spid="_x0000_s1026" o:allowincell="f" type="#_x0000_t75">
          <v:imagedata o:title="back"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440D"/>
    <w:multiLevelType w:val="multilevel"/>
    <w:tmpl w:val="D0AA9270"/>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343B1"/>
    <w:multiLevelType w:val="multilevel"/>
    <w:tmpl w:val="B5E0FD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9ED5E8E"/>
    <w:multiLevelType w:val="multilevel"/>
    <w:tmpl w:val="63D416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646D5C"/>
    <w:multiLevelType w:val="hybridMultilevel"/>
    <w:tmpl w:val="1D04A5B0"/>
    <w:lvl w:ilvl="0" w:tplc="74A8C744">
      <w:start w:val="1"/>
      <w:numFmt w:val="bullet"/>
      <w:lvlText w:val=""/>
      <w:lvlJc w:val="left"/>
      <w:pPr>
        <w:ind w:left="720" w:hanging="360"/>
      </w:pPr>
      <w:rPr>
        <w:rFonts w:hint="default" w:ascii="Symbol" w:hAnsi="Symbo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66964D7"/>
    <w:multiLevelType w:val="hybridMultilevel"/>
    <w:tmpl w:val="D63C5264"/>
    <w:lvl w:ilvl="0" w:tplc="2960D120">
      <w:start w:val="1"/>
      <w:numFmt w:val="decimal"/>
      <w:lvlText w:val="%1."/>
      <w:lvlJc w:val="left"/>
      <w:pPr>
        <w:ind w:left="360" w:hanging="360"/>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EF0BD5"/>
    <w:multiLevelType w:val="multilevel"/>
    <w:tmpl w:val="348AEF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377D7F"/>
    <w:multiLevelType w:val="hybridMultilevel"/>
    <w:tmpl w:val="1158E0EA"/>
    <w:lvl w:ilvl="0" w:tplc="0413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7B73461E"/>
    <w:multiLevelType w:val="hybridMultilevel"/>
    <w:tmpl w:val="832498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087259315">
    <w:abstractNumId w:val="4"/>
  </w:num>
  <w:num w:numId="2" w16cid:durableId="1903981752">
    <w:abstractNumId w:val="1"/>
  </w:num>
  <w:num w:numId="3" w16cid:durableId="433983668">
    <w:abstractNumId w:val="0"/>
  </w:num>
  <w:num w:numId="4" w16cid:durableId="463425797">
    <w:abstractNumId w:val="5"/>
  </w:num>
  <w:num w:numId="5" w16cid:durableId="573861549">
    <w:abstractNumId w:val="3"/>
  </w:num>
  <w:num w:numId="6" w16cid:durableId="893665063">
    <w:abstractNumId w:val="2"/>
  </w:num>
  <w:num w:numId="7" w16cid:durableId="1258557867">
    <w:abstractNumId w:val="6"/>
  </w:num>
  <w:num w:numId="8" w16cid:durableId="151133570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trackRevisions w:val="false"/>
  <w:defaultTabStop w:val="45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8E"/>
    <w:rsid w:val="00000D89"/>
    <w:rsid w:val="000027D7"/>
    <w:rsid w:val="00005806"/>
    <w:rsid w:val="000059D2"/>
    <w:rsid w:val="0001131D"/>
    <w:rsid w:val="00013E9E"/>
    <w:rsid w:val="00015347"/>
    <w:rsid w:val="000166F9"/>
    <w:rsid w:val="000173DC"/>
    <w:rsid w:val="000229C2"/>
    <w:rsid w:val="000241A2"/>
    <w:rsid w:val="00024710"/>
    <w:rsid w:val="00026654"/>
    <w:rsid w:val="000352B7"/>
    <w:rsid w:val="00036B89"/>
    <w:rsid w:val="00040514"/>
    <w:rsid w:val="00043538"/>
    <w:rsid w:val="00046F53"/>
    <w:rsid w:val="00055BF3"/>
    <w:rsid w:val="000562F1"/>
    <w:rsid w:val="00056D6F"/>
    <w:rsid w:val="00061FE5"/>
    <w:rsid w:val="00062F1B"/>
    <w:rsid w:val="00066B59"/>
    <w:rsid w:val="00067A2B"/>
    <w:rsid w:val="000723C9"/>
    <w:rsid w:val="0007724B"/>
    <w:rsid w:val="0007791C"/>
    <w:rsid w:val="0008691F"/>
    <w:rsid w:val="00092A90"/>
    <w:rsid w:val="000945AD"/>
    <w:rsid w:val="000958D1"/>
    <w:rsid w:val="000A10EC"/>
    <w:rsid w:val="000A3285"/>
    <w:rsid w:val="000A47EC"/>
    <w:rsid w:val="000A63CF"/>
    <w:rsid w:val="000A7367"/>
    <w:rsid w:val="000A7652"/>
    <w:rsid w:val="000B285B"/>
    <w:rsid w:val="000B4EE1"/>
    <w:rsid w:val="000B5BF3"/>
    <w:rsid w:val="000B7844"/>
    <w:rsid w:val="000B7BCB"/>
    <w:rsid w:val="000C1985"/>
    <w:rsid w:val="000C2CFC"/>
    <w:rsid w:val="000C5284"/>
    <w:rsid w:val="000C5592"/>
    <w:rsid w:val="000C5AE6"/>
    <w:rsid w:val="000C602A"/>
    <w:rsid w:val="000D06F7"/>
    <w:rsid w:val="000E1DDB"/>
    <w:rsid w:val="000E4BE7"/>
    <w:rsid w:val="000E629A"/>
    <w:rsid w:val="000E7543"/>
    <w:rsid w:val="000F400A"/>
    <w:rsid w:val="000F4573"/>
    <w:rsid w:val="000F5359"/>
    <w:rsid w:val="000F6EF2"/>
    <w:rsid w:val="000F7B72"/>
    <w:rsid w:val="00107962"/>
    <w:rsid w:val="00107DE9"/>
    <w:rsid w:val="00112AC0"/>
    <w:rsid w:val="001153CF"/>
    <w:rsid w:val="00115B7B"/>
    <w:rsid w:val="001267B9"/>
    <w:rsid w:val="00127981"/>
    <w:rsid w:val="00131FC9"/>
    <w:rsid w:val="0013454F"/>
    <w:rsid w:val="001457F6"/>
    <w:rsid w:val="00145AFD"/>
    <w:rsid w:val="001460F2"/>
    <w:rsid w:val="0015042E"/>
    <w:rsid w:val="00152380"/>
    <w:rsid w:val="00152CC7"/>
    <w:rsid w:val="00152D55"/>
    <w:rsid w:val="00153CFA"/>
    <w:rsid w:val="001550A5"/>
    <w:rsid w:val="00156322"/>
    <w:rsid w:val="00163240"/>
    <w:rsid w:val="00163415"/>
    <w:rsid w:val="00163EAB"/>
    <w:rsid w:val="00164C2B"/>
    <w:rsid w:val="00165178"/>
    <w:rsid w:val="0018477B"/>
    <w:rsid w:val="00185675"/>
    <w:rsid w:val="0019136F"/>
    <w:rsid w:val="00194512"/>
    <w:rsid w:val="00195519"/>
    <w:rsid w:val="00195DD9"/>
    <w:rsid w:val="00195ED3"/>
    <w:rsid w:val="0019754E"/>
    <w:rsid w:val="0019759F"/>
    <w:rsid w:val="001A434E"/>
    <w:rsid w:val="001A7624"/>
    <w:rsid w:val="001A772A"/>
    <w:rsid w:val="001B123B"/>
    <w:rsid w:val="001B46F8"/>
    <w:rsid w:val="001B6A56"/>
    <w:rsid w:val="001C2611"/>
    <w:rsid w:val="001C27D3"/>
    <w:rsid w:val="001C54EF"/>
    <w:rsid w:val="001C6FA6"/>
    <w:rsid w:val="001D0F40"/>
    <w:rsid w:val="001D6954"/>
    <w:rsid w:val="001E45F4"/>
    <w:rsid w:val="001E5DAA"/>
    <w:rsid w:val="001E747A"/>
    <w:rsid w:val="001E798D"/>
    <w:rsid w:val="001F15E9"/>
    <w:rsid w:val="001F5D46"/>
    <w:rsid w:val="00202D11"/>
    <w:rsid w:val="00204656"/>
    <w:rsid w:val="002117AA"/>
    <w:rsid w:val="00213D9F"/>
    <w:rsid w:val="0021408F"/>
    <w:rsid w:val="00216190"/>
    <w:rsid w:val="00216FDF"/>
    <w:rsid w:val="002204A4"/>
    <w:rsid w:val="00220878"/>
    <w:rsid w:val="00220E78"/>
    <w:rsid w:val="00223D96"/>
    <w:rsid w:val="00227B0F"/>
    <w:rsid w:val="00230616"/>
    <w:rsid w:val="00233B74"/>
    <w:rsid w:val="002346D3"/>
    <w:rsid w:val="00236883"/>
    <w:rsid w:val="00237F4F"/>
    <w:rsid w:val="00241F8B"/>
    <w:rsid w:val="00243D02"/>
    <w:rsid w:val="00244F1C"/>
    <w:rsid w:val="002450EB"/>
    <w:rsid w:val="002456F0"/>
    <w:rsid w:val="002463BF"/>
    <w:rsid w:val="0024683F"/>
    <w:rsid w:val="00247457"/>
    <w:rsid w:val="00247DC4"/>
    <w:rsid w:val="00251C6C"/>
    <w:rsid w:val="00253300"/>
    <w:rsid w:val="00253F51"/>
    <w:rsid w:val="002605BD"/>
    <w:rsid w:val="00264421"/>
    <w:rsid w:val="0026448A"/>
    <w:rsid w:val="00265A44"/>
    <w:rsid w:val="00267F3E"/>
    <w:rsid w:val="00271A16"/>
    <w:rsid w:val="00271E16"/>
    <w:rsid w:val="00272398"/>
    <w:rsid w:val="00272C73"/>
    <w:rsid w:val="00276985"/>
    <w:rsid w:val="002828B6"/>
    <w:rsid w:val="00283261"/>
    <w:rsid w:val="002844C1"/>
    <w:rsid w:val="00285EB6"/>
    <w:rsid w:val="0028637C"/>
    <w:rsid w:val="002864D5"/>
    <w:rsid w:val="0028779D"/>
    <w:rsid w:val="00291F8F"/>
    <w:rsid w:val="00292B59"/>
    <w:rsid w:val="00295722"/>
    <w:rsid w:val="00295BFD"/>
    <w:rsid w:val="002A0FC5"/>
    <w:rsid w:val="002B080C"/>
    <w:rsid w:val="002B5EF5"/>
    <w:rsid w:val="002C0DE4"/>
    <w:rsid w:val="002C1964"/>
    <w:rsid w:val="002C3A23"/>
    <w:rsid w:val="002C427B"/>
    <w:rsid w:val="002C4F7D"/>
    <w:rsid w:val="002C55CA"/>
    <w:rsid w:val="002C5E59"/>
    <w:rsid w:val="002C75D3"/>
    <w:rsid w:val="002D14C0"/>
    <w:rsid w:val="002D253A"/>
    <w:rsid w:val="002D34D4"/>
    <w:rsid w:val="002D5428"/>
    <w:rsid w:val="002D65EA"/>
    <w:rsid w:val="002E09C3"/>
    <w:rsid w:val="002F45FC"/>
    <w:rsid w:val="002F6052"/>
    <w:rsid w:val="002F6C42"/>
    <w:rsid w:val="002F7C7C"/>
    <w:rsid w:val="003047D4"/>
    <w:rsid w:val="00311C57"/>
    <w:rsid w:val="00313675"/>
    <w:rsid w:val="00320139"/>
    <w:rsid w:val="0032131E"/>
    <w:rsid w:val="00325293"/>
    <w:rsid w:val="00326221"/>
    <w:rsid w:val="0033291D"/>
    <w:rsid w:val="00334122"/>
    <w:rsid w:val="00335A3E"/>
    <w:rsid w:val="00335D37"/>
    <w:rsid w:val="00337304"/>
    <w:rsid w:val="00342DC7"/>
    <w:rsid w:val="003457A6"/>
    <w:rsid w:val="003458A4"/>
    <w:rsid w:val="003523FD"/>
    <w:rsid w:val="00352B5C"/>
    <w:rsid w:val="00353335"/>
    <w:rsid w:val="003533F5"/>
    <w:rsid w:val="0035666E"/>
    <w:rsid w:val="00356B97"/>
    <w:rsid w:val="0036337D"/>
    <w:rsid w:val="00364A09"/>
    <w:rsid w:val="003723F6"/>
    <w:rsid w:val="00373695"/>
    <w:rsid w:val="0037595B"/>
    <w:rsid w:val="00380142"/>
    <w:rsid w:val="00380DAF"/>
    <w:rsid w:val="00392224"/>
    <w:rsid w:val="00393DA8"/>
    <w:rsid w:val="00395694"/>
    <w:rsid w:val="0039704F"/>
    <w:rsid w:val="003A0D3F"/>
    <w:rsid w:val="003A1370"/>
    <w:rsid w:val="003A7201"/>
    <w:rsid w:val="003B18B4"/>
    <w:rsid w:val="003B6269"/>
    <w:rsid w:val="003C2288"/>
    <w:rsid w:val="003C55EB"/>
    <w:rsid w:val="003D196C"/>
    <w:rsid w:val="003D24B0"/>
    <w:rsid w:val="003D4466"/>
    <w:rsid w:val="003D5BC5"/>
    <w:rsid w:val="003D64D7"/>
    <w:rsid w:val="003E06EF"/>
    <w:rsid w:val="003E1A2E"/>
    <w:rsid w:val="003E5B3F"/>
    <w:rsid w:val="003E5CEF"/>
    <w:rsid w:val="003E65B3"/>
    <w:rsid w:val="003E7641"/>
    <w:rsid w:val="003F15D0"/>
    <w:rsid w:val="003F21A0"/>
    <w:rsid w:val="003F3DA9"/>
    <w:rsid w:val="003F4E1D"/>
    <w:rsid w:val="003F50DD"/>
    <w:rsid w:val="003F6833"/>
    <w:rsid w:val="004125C5"/>
    <w:rsid w:val="00415CF9"/>
    <w:rsid w:val="00420555"/>
    <w:rsid w:val="00426526"/>
    <w:rsid w:val="0042665C"/>
    <w:rsid w:val="00430FAD"/>
    <w:rsid w:val="004328FE"/>
    <w:rsid w:val="00433DCF"/>
    <w:rsid w:val="00434026"/>
    <w:rsid w:val="00434FD2"/>
    <w:rsid w:val="004352F0"/>
    <w:rsid w:val="0043607F"/>
    <w:rsid w:val="00440B61"/>
    <w:rsid w:val="004505DB"/>
    <w:rsid w:val="00464855"/>
    <w:rsid w:val="004667D9"/>
    <w:rsid w:val="004669B8"/>
    <w:rsid w:val="00471429"/>
    <w:rsid w:val="00471676"/>
    <w:rsid w:val="0047210D"/>
    <w:rsid w:val="0047321C"/>
    <w:rsid w:val="0047470C"/>
    <w:rsid w:val="00477C37"/>
    <w:rsid w:val="00484B63"/>
    <w:rsid w:val="0048681D"/>
    <w:rsid w:val="00487CAB"/>
    <w:rsid w:val="00491591"/>
    <w:rsid w:val="0049283F"/>
    <w:rsid w:val="00492DDD"/>
    <w:rsid w:val="0049328A"/>
    <w:rsid w:val="00494934"/>
    <w:rsid w:val="0049760E"/>
    <w:rsid w:val="004979C3"/>
    <w:rsid w:val="004A51B7"/>
    <w:rsid w:val="004A6B42"/>
    <w:rsid w:val="004A7EF8"/>
    <w:rsid w:val="004B5440"/>
    <w:rsid w:val="004B63E9"/>
    <w:rsid w:val="004C5D27"/>
    <w:rsid w:val="004C7B30"/>
    <w:rsid w:val="004C7D45"/>
    <w:rsid w:val="004D16F8"/>
    <w:rsid w:val="004E0DB2"/>
    <w:rsid w:val="004E2014"/>
    <w:rsid w:val="004E4969"/>
    <w:rsid w:val="004E5050"/>
    <w:rsid w:val="004E54C9"/>
    <w:rsid w:val="004F0064"/>
    <w:rsid w:val="004F276E"/>
    <w:rsid w:val="004F376B"/>
    <w:rsid w:val="004F4608"/>
    <w:rsid w:val="004F56DB"/>
    <w:rsid w:val="004F63AE"/>
    <w:rsid w:val="004F6A3A"/>
    <w:rsid w:val="00500C15"/>
    <w:rsid w:val="00506468"/>
    <w:rsid w:val="005066C3"/>
    <w:rsid w:val="005073C9"/>
    <w:rsid w:val="00507689"/>
    <w:rsid w:val="005111BF"/>
    <w:rsid w:val="00517807"/>
    <w:rsid w:val="00522B88"/>
    <w:rsid w:val="00523386"/>
    <w:rsid w:val="00524594"/>
    <w:rsid w:val="0052691D"/>
    <w:rsid w:val="00543877"/>
    <w:rsid w:val="00554935"/>
    <w:rsid w:val="005557DA"/>
    <w:rsid w:val="00555B79"/>
    <w:rsid w:val="00555DA8"/>
    <w:rsid w:val="005632CE"/>
    <w:rsid w:val="005677C4"/>
    <w:rsid w:val="005702DF"/>
    <w:rsid w:val="00570734"/>
    <w:rsid w:val="0057605F"/>
    <w:rsid w:val="005815E1"/>
    <w:rsid w:val="00582A41"/>
    <w:rsid w:val="0058688C"/>
    <w:rsid w:val="00586DDE"/>
    <w:rsid w:val="00587351"/>
    <w:rsid w:val="0058775D"/>
    <w:rsid w:val="0059602D"/>
    <w:rsid w:val="00597E04"/>
    <w:rsid w:val="005A0BBD"/>
    <w:rsid w:val="005A125E"/>
    <w:rsid w:val="005A249F"/>
    <w:rsid w:val="005A27F5"/>
    <w:rsid w:val="005A3B54"/>
    <w:rsid w:val="005A4469"/>
    <w:rsid w:val="005A4E8E"/>
    <w:rsid w:val="005B08F9"/>
    <w:rsid w:val="005B1E9E"/>
    <w:rsid w:val="005B1F16"/>
    <w:rsid w:val="005B59DE"/>
    <w:rsid w:val="005C0862"/>
    <w:rsid w:val="005C1082"/>
    <w:rsid w:val="005C22E4"/>
    <w:rsid w:val="005C4861"/>
    <w:rsid w:val="005C49FC"/>
    <w:rsid w:val="005C7A81"/>
    <w:rsid w:val="005D08EF"/>
    <w:rsid w:val="005D185F"/>
    <w:rsid w:val="005D5933"/>
    <w:rsid w:val="005E01CE"/>
    <w:rsid w:val="005E020F"/>
    <w:rsid w:val="005F0655"/>
    <w:rsid w:val="005F14B1"/>
    <w:rsid w:val="005F40A0"/>
    <w:rsid w:val="005F4299"/>
    <w:rsid w:val="00600811"/>
    <w:rsid w:val="0060634D"/>
    <w:rsid w:val="0060656D"/>
    <w:rsid w:val="00606F9C"/>
    <w:rsid w:val="00607336"/>
    <w:rsid w:val="00610726"/>
    <w:rsid w:val="00612C8D"/>
    <w:rsid w:val="00614B15"/>
    <w:rsid w:val="00616059"/>
    <w:rsid w:val="00616293"/>
    <w:rsid w:val="00617C34"/>
    <w:rsid w:val="006217FC"/>
    <w:rsid w:val="00621A34"/>
    <w:rsid w:val="00626275"/>
    <w:rsid w:val="006273EE"/>
    <w:rsid w:val="00627A11"/>
    <w:rsid w:val="00630718"/>
    <w:rsid w:val="00635F4B"/>
    <w:rsid w:val="00640194"/>
    <w:rsid w:val="00644437"/>
    <w:rsid w:val="00646D9B"/>
    <w:rsid w:val="00646F72"/>
    <w:rsid w:val="00650102"/>
    <w:rsid w:val="00650474"/>
    <w:rsid w:val="006523C4"/>
    <w:rsid w:val="00655B48"/>
    <w:rsid w:val="006561F5"/>
    <w:rsid w:val="006700FF"/>
    <w:rsid w:val="00672B28"/>
    <w:rsid w:val="006763AB"/>
    <w:rsid w:val="006814A2"/>
    <w:rsid w:val="00687ACA"/>
    <w:rsid w:val="00687B62"/>
    <w:rsid w:val="006A175D"/>
    <w:rsid w:val="006B10BF"/>
    <w:rsid w:val="006B24C1"/>
    <w:rsid w:val="006B35D3"/>
    <w:rsid w:val="006B3868"/>
    <w:rsid w:val="006B3A62"/>
    <w:rsid w:val="006B3F79"/>
    <w:rsid w:val="006B67BD"/>
    <w:rsid w:val="006C0761"/>
    <w:rsid w:val="006C6D33"/>
    <w:rsid w:val="006D0193"/>
    <w:rsid w:val="006D1A7C"/>
    <w:rsid w:val="006D38B9"/>
    <w:rsid w:val="006D488A"/>
    <w:rsid w:val="006D5746"/>
    <w:rsid w:val="006E1D18"/>
    <w:rsid w:val="006E3487"/>
    <w:rsid w:val="006E3DD7"/>
    <w:rsid w:val="006E46AE"/>
    <w:rsid w:val="006E746F"/>
    <w:rsid w:val="006F06E8"/>
    <w:rsid w:val="006F0FA4"/>
    <w:rsid w:val="006F36AB"/>
    <w:rsid w:val="006F6C5B"/>
    <w:rsid w:val="006F6DCC"/>
    <w:rsid w:val="006F7D35"/>
    <w:rsid w:val="00700794"/>
    <w:rsid w:val="00700A28"/>
    <w:rsid w:val="00702E3A"/>
    <w:rsid w:val="00703CA9"/>
    <w:rsid w:val="00706FD5"/>
    <w:rsid w:val="00713843"/>
    <w:rsid w:val="0071718D"/>
    <w:rsid w:val="007265A7"/>
    <w:rsid w:val="00731485"/>
    <w:rsid w:val="0073266C"/>
    <w:rsid w:val="00732CA6"/>
    <w:rsid w:val="007405AF"/>
    <w:rsid w:val="00741096"/>
    <w:rsid w:val="00743981"/>
    <w:rsid w:val="0074589B"/>
    <w:rsid w:val="00746B58"/>
    <w:rsid w:val="007510EB"/>
    <w:rsid w:val="007551A6"/>
    <w:rsid w:val="0076517C"/>
    <w:rsid w:val="0076645A"/>
    <w:rsid w:val="0076708B"/>
    <w:rsid w:val="0076785C"/>
    <w:rsid w:val="00770FDF"/>
    <w:rsid w:val="00772FCA"/>
    <w:rsid w:val="00776054"/>
    <w:rsid w:val="00780D73"/>
    <w:rsid w:val="007909E3"/>
    <w:rsid w:val="00797711"/>
    <w:rsid w:val="007A0984"/>
    <w:rsid w:val="007A2F52"/>
    <w:rsid w:val="007A4335"/>
    <w:rsid w:val="007B248E"/>
    <w:rsid w:val="007B3D52"/>
    <w:rsid w:val="007B418E"/>
    <w:rsid w:val="007B43D8"/>
    <w:rsid w:val="007B603B"/>
    <w:rsid w:val="007C2A75"/>
    <w:rsid w:val="007C5891"/>
    <w:rsid w:val="007D0074"/>
    <w:rsid w:val="007D1267"/>
    <w:rsid w:val="007D1485"/>
    <w:rsid w:val="007D352B"/>
    <w:rsid w:val="007D5349"/>
    <w:rsid w:val="007D545B"/>
    <w:rsid w:val="007D6EA4"/>
    <w:rsid w:val="007D7686"/>
    <w:rsid w:val="007E0102"/>
    <w:rsid w:val="007E7C7B"/>
    <w:rsid w:val="007F09BB"/>
    <w:rsid w:val="007F418E"/>
    <w:rsid w:val="007F62BC"/>
    <w:rsid w:val="007F6DF6"/>
    <w:rsid w:val="007F6E8D"/>
    <w:rsid w:val="007F73CC"/>
    <w:rsid w:val="00801A87"/>
    <w:rsid w:val="00801D19"/>
    <w:rsid w:val="00803B4B"/>
    <w:rsid w:val="008047EB"/>
    <w:rsid w:val="008062BE"/>
    <w:rsid w:val="00806751"/>
    <w:rsid w:val="008123FB"/>
    <w:rsid w:val="008133B6"/>
    <w:rsid w:val="0081685A"/>
    <w:rsid w:val="008211F8"/>
    <w:rsid w:val="008300D2"/>
    <w:rsid w:val="00830BB2"/>
    <w:rsid w:val="0083122B"/>
    <w:rsid w:val="00836410"/>
    <w:rsid w:val="00840AE4"/>
    <w:rsid w:val="008412D1"/>
    <w:rsid w:val="00844D4F"/>
    <w:rsid w:val="0084512F"/>
    <w:rsid w:val="0085267C"/>
    <w:rsid w:val="0085531F"/>
    <w:rsid w:val="00861634"/>
    <w:rsid w:val="00862A28"/>
    <w:rsid w:val="00863300"/>
    <w:rsid w:val="00864656"/>
    <w:rsid w:val="00865A27"/>
    <w:rsid w:val="00867766"/>
    <w:rsid w:val="00867898"/>
    <w:rsid w:val="0087117C"/>
    <w:rsid w:val="00875761"/>
    <w:rsid w:val="00880805"/>
    <w:rsid w:val="008828D8"/>
    <w:rsid w:val="008831E1"/>
    <w:rsid w:val="00885EAF"/>
    <w:rsid w:val="008871AA"/>
    <w:rsid w:val="0089203C"/>
    <w:rsid w:val="008947BF"/>
    <w:rsid w:val="008B3F80"/>
    <w:rsid w:val="008B73D1"/>
    <w:rsid w:val="008C3548"/>
    <w:rsid w:val="008C42A2"/>
    <w:rsid w:val="008C69C4"/>
    <w:rsid w:val="008D135C"/>
    <w:rsid w:val="008D2E7F"/>
    <w:rsid w:val="008D2F02"/>
    <w:rsid w:val="008D568A"/>
    <w:rsid w:val="008D6CCB"/>
    <w:rsid w:val="008E1984"/>
    <w:rsid w:val="008E75D3"/>
    <w:rsid w:val="008F1561"/>
    <w:rsid w:val="008F2D4E"/>
    <w:rsid w:val="008F40DE"/>
    <w:rsid w:val="009057ED"/>
    <w:rsid w:val="0091051B"/>
    <w:rsid w:val="0091447D"/>
    <w:rsid w:val="00917C73"/>
    <w:rsid w:val="009210D1"/>
    <w:rsid w:val="0092154C"/>
    <w:rsid w:val="00924567"/>
    <w:rsid w:val="0092531C"/>
    <w:rsid w:val="0092558D"/>
    <w:rsid w:val="00935E24"/>
    <w:rsid w:val="00936C76"/>
    <w:rsid w:val="009378B6"/>
    <w:rsid w:val="009413B0"/>
    <w:rsid w:val="00943533"/>
    <w:rsid w:val="0094382E"/>
    <w:rsid w:val="00950636"/>
    <w:rsid w:val="00951890"/>
    <w:rsid w:val="00952E63"/>
    <w:rsid w:val="00955A76"/>
    <w:rsid w:val="00957D69"/>
    <w:rsid w:val="009603ED"/>
    <w:rsid w:val="00962742"/>
    <w:rsid w:val="009634D2"/>
    <w:rsid w:val="009666B5"/>
    <w:rsid w:val="0097204D"/>
    <w:rsid w:val="00974654"/>
    <w:rsid w:val="00976B90"/>
    <w:rsid w:val="009775A2"/>
    <w:rsid w:val="00980FC0"/>
    <w:rsid w:val="0098199A"/>
    <w:rsid w:val="00984EB5"/>
    <w:rsid w:val="00985163"/>
    <w:rsid w:val="00990BA0"/>
    <w:rsid w:val="00992D79"/>
    <w:rsid w:val="0099395B"/>
    <w:rsid w:val="0099499F"/>
    <w:rsid w:val="00996CFB"/>
    <w:rsid w:val="009A1097"/>
    <w:rsid w:val="009A2B44"/>
    <w:rsid w:val="009A2B81"/>
    <w:rsid w:val="009A3722"/>
    <w:rsid w:val="009A6F19"/>
    <w:rsid w:val="009B0A74"/>
    <w:rsid w:val="009B0C73"/>
    <w:rsid w:val="009B3232"/>
    <w:rsid w:val="009C12E0"/>
    <w:rsid w:val="009C14BA"/>
    <w:rsid w:val="009C366F"/>
    <w:rsid w:val="009C4F3E"/>
    <w:rsid w:val="009C7BEF"/>
    <w:rsid w:val="009C7FFA"/>
    <w:rsid w:val="009D57E5"/>
    <w:rsid w:val="009E4CA0"/>
    <w:rsid w:val="009F1ADC"/>
    <w:rsid w:val="009F6918"/>
    <w:rsid w:val="00A00CC7"/>
    <w:rsid w:val="00A0190E"/>
    <w:rsid w:val="00A065B8"/>
    <w:rsid w:val="00A076A6"/>
    <w:rsid w:val="00A12810"/>
    <w:rsid w:val="00A12D20"/>
    <w:rsid w:val="00A16DE1"/>
    <w:rsid w:val="00A17EAC"/>
    <w:rsid w:val="00A21C8D"/>
    <w:rsid w:val="00A25343"/>
    <w:rsid w:val="00A27188"/>
    <w:rsid w:val="00A32833"/>
    <w:rsid w:val="00A36CE4"/>
    <w:rsid w:val="00A371CA"/>
    <w:rsid w:val="00A3748F"/>
    <w:rsid w:val="00A439B1"/>
    <w:rsid w:val="00A44C95"/>
    <w:rsid w:val="00A454D5"/>
    <w:rsid w:val="00A505BE"/>
    <w:rsid w:val="00A50ABB"/>
    <w:rsid w:val="00A56189"/>
    <w:rsid w:val="00A60642"/>
    <w:rsid w:val="00A737FA"/>
    <w:rsid w:val="00A73A5E"/>
    <w:rsid w:val="00A75C15"/>
    <w:rsid w:val="00A8153D"/>
    <w:rsid w:val="00A82426"/>
    <w:rsid w:val="00A8283A"/>
    <w:rsid w:val="00A8577E"/>
    <w:rsid w:val="00A85F7E"/>
    <w:rsid w:val="00A87408"/>
    <w:rsid w:val="00A92FD3"/>
    <w:rsid w:val="00AA30E7"/>
    <w:rsid w:val="00AA4DF5"/>
    <w:rsid w:val="00AB789F"/>
    <w:rsid w:val="00AC103C"/>
    <w:rsid w:val="00AC253F"/>
    <w:rsid w:val="00AC46D4"/>
    <w:rsid w:val="00AC561D"/>
    <w:rsid w:val="00AC5632"/>
    <w:rsid w:val="00AD1A5C"/>
    <w:rsid w:val="00AD63E0"/>
    <w:rsid w:val="00AD7871"/>
    <w:rsid w:val="00AD7D3B"/>
    <w:rsid w:val="00AE0793"/>
    <w:rsid w:val="00AE1EA3"/>
    <w:rsid w:val="00AE68DC"/>
    <w:rsid w:val="00AE77A2"/>
    <w:rsid w:val="00AF18E7"/>
    <w:rsid w:val="00AF21FB"/>
    <w:rsid w:val="00AF2423"/>
    <w:rsid w:val="00AF25B6"/>
    <w:rsid w:val="00AF5B0F"/>
    <w:rsid w:val="00B026F4"/>
    <w:rsid w:val="00B046C4"/>
    <w:rsid w:val="00B053BB"/>
    <w:rsid w:val="00B05A15"/>
    <w:rsid w:val="00B0797E"/>
    <w:rsid w:val="00B1016F"/>
    <w:rsid w:val="00B1069C"/>
    <w:rsid w:val="00B14B9A"/>
    <w:rsid w:val="00B1763D"/>
    <w:rsid w:val="00B2184A"/>
    <w:rsid w:val="00B221DC"/>
    <w:rsid w:val="00B226AF"/>
    <w:rsid w:val="00B2310B"/>
    <w:rsid w:val="00B2576E"/>
    <w:rsid w:val="00B27C61"/>
    <w:rsid w:val="00B30C06"/>
    <w:rsid w:val="00B31745"/>
    <w:rsid w:val="00B336FF"/>
    <w:rsid w:val="00B343D7"/>
    <w:rsid w:val="00B40F7F"/>
    <w:rsid w:val="00B454FC"/>
    <w:rsid w:val="00B4614E"/>
    <w:rsid w:val="00B52AB9"/>
    <w:rsid w:val="00B530F9"/>
    <w:rsid w:val="00B54E3A"/>
    <w:rsid w:val="00B61F10"/>
    <w:rsid w:val="00B67EC1"/>
    <w:rsid w:val="00B67FFE"/>
    <w:rsid w:val="00B715E0"/>
    <w:rsid w:val="00B72720"/>
    <w:rsid w:val="00B742CA"/>
    <w:rsid w:val="00B75F33"/>
    <w:rsid w:val="00B7651C"/>
    <w:rsid w:val="00B766EB"/>
    <w:rsid w:val="00B83737"/>
    <w:rsid w:val="00B8696D"/>
    <w:rsid w:val="00B875D9"/>
    <w:rsid w:val="00B91E4C"/>
    <w:rsid w:val="00B922C2"/>
    <w:rsid w:val="00BA38FF"/>
    <w:rsid w:val="00BB2706"/>
    <w:rsid w:val="00BB77C2"/>
    <w:rsid w:val="00BD01C9"/>
    <w:rsid w:val="00BD1442"/>
    <w:rsid w:val="00BD2D47"/>
    <w:rsid w:val="00BD5D90"/>
    <w:rsid w:val="00BD5F73"/>
    <w:rsid w:val="00BE085C"/>
    <w:rsid w:val="00BE140A"/>
    <w:rsid w:val="00BF60A2"/>
    <w:rsid w:val="00BF66CD"/>
    <w:rsid w:val="00C05DBE"/>
    <w:rsid w:val="00C13A9B"/>
    <w:rsid w:val="00C22034"/>
    <w:rsid w:val="00C23AA2"/>
    <w:rsid w:val="00C261A8"/>
    <w:rsid w:val="00C27C8F"/>
    <w:rsid w:val="00C30207"/>
    <w:rsid w:val="00C317E5"/>
    <w:rsid w:val="00C32252"/>
    <w:rsid w:val="00C373AB"/>
    <w:rsid w:val="00C45E6E"/>
    <w:rsid w:val="00C47ECB"/>
    <w:rsid w:val="00C56426"/>
    <w:rsid w:val="00C60453"/>
    <w:rsid w:val="00C61692"/>
    <w:rsid w:val="00C650C7"/>
    <w:rsid w:val="00C6746E"/>
    <w:rsid w:val="00C73007"/>
    <w:rsid w:val="00C73129"/>
    <w:rsid w:val="00C74EF9"/>
    <w:rsid w:val="00C77979"/>
    <w:rsid w:val="00C80E41"/>
    <w:rsid w:val="00C85BC8"/>
    <w:rsid w:val="00C86971"/>
    <w:rsid w:val="00C91ABC"/>
    <w:rsid w:val="00C944E7"/>
    <w:rsid w:val="00C97131"/>
    <w:rsid w:val="00CA1099"/>
    <w:rsid w:val="00CA13FF"/>
    <w:rsid w:val="00CA1C9C"/>
    <w:rsid w:val="00CA2667"/>
    <w:rsid w:val="00CA2D51"/>
    <w:rsid w:val="00CA4F98"/>
    <w:rsid w:val="00CA5064"/>
    <w:rsid w:val="00CA523F"/>
    <w:rsid w:val="00CB11DC"/>
    <w:rsid w:val="00CB3D9B"/>
    <w:rsid w:val="00CC405B"/>
    <w:rsid w:val="00CC73D6"/>
    <w:rsid w:val="00CD61C0"/>
    <w:rsid w:val="00CD64F5"/>
    <w:rsid w:val="00CE0AF2"/>
    <w:rsid w:val="00CE1347"/>
    <w:rsid w:val="00CE2020"/>
    <w:rsid w:val="00CE3252"/>
    <w:rsid w:val="00CE7C33"/>
    <w:rsid w:val="00CF3EE2"/>
    <w:rsid w:val="00CF446F"/>
    <w:rsid w:val="00D01CD7"/>
    <w:rsid w:val="00D02317"/>
    <w:rsid w:val="00D02A18"/>
    <w:rsid w:val="00D03352"/>
    <w:rsid w:val="00D037FC"/>
    <w:rsid w:val="00D07D8D"/>
    <w:rsid w:val="00D12968"/>
    <w:rsid w:val="00D149CB"/>
    <w:rsid w:val="00D14C61"/>
    <w:rsid w:val="00D16003"/>
    <w:rsid w:val="00D20070"/>
    <w:rsid w:val="00D20946"/>
    <w:rsid w:val="00D2465E"/>
    <w:rsid w:val="00D266D8"/>
    <w:rsid w:val="00D320C8"/>
    <w:rsid w:val="00D32274"/>
    <w:rsid w:val="00D34066"/>
    <w:rsid w:val="00D358D3"/>
    <w:rsid w:val="00D406A3"/>
    <w:rsid w:val="00D40859"/>
    <w:rsid w:val="00D4119F"/>
    <w:rsid w:val="00D4157D"/>
    <w:rsid w:val="00D42AF4"/>
    <w:rsid w:val="00D471C9"/>
    <w:rsid w:val="00D52233"/>
    <w:rsid w:val="00D52EF0"/>
    <w:rsid w:val="00D63D9C"/>
    <w:rsid w:val="00D64634"/>
    <w:rsid w:val="00D71346"/>
    <w:rsid w:val="00D77553"/>
    <w:rsid w:val="00D77B38"/>
    <w:rsid w:val="00D8192C"/>
    <w:rsid w:val="00D82FFF"/>
    <w:rsid w:val="00D8690B"/>
    <w:rsid w:val="00D86A66"/>
    <w:rsid w:val="00D91BF6"/>
    <w:rsid w:val="00D92D0F"/>
    <w:rsid w:val="00D94D3B"/>
    <w:rsid w:val="00D95C71"/>
    <w:rsid w:val="00DA3585"/>
    <w:rsid w:val="00DA50A2"/>
    <w:rsid w:val="00DA76C6"/>
    <w:rsid w:val="00DA7C16"/>
    <w:rsid w:val="00DA7D96"/>
    <w:rsid w:val="00DB19EA"/>
    <w:rsid w:val="00DB3BBB"/>
    <w:rsid w:val="00DB3BD8"/>
    <w:rsid w:val="00DB72B7"/>
    <w:rsid w:val="00DC1E55"/>
    <w:rsid w:val="00DC2497"/>
    <w:rsid w:val="00DC2652"/>
    <w:rsid w:val="00DC3FF0"/>
    <w:rsid w:val="00DC4792"/>
    <w:rsid w:val="00DC7306"/>
    <w:rsid w:val="00DC7770"/>
    <w:rsid w:val="00DD2DF2"/>
    <w:rsid w:val="00DD47B3"/>
    <w:rsid w:val="00DE27E2"/>
    <w:rsid w:val="00DE5888"/>
    <w:rsid w:val="00DE67F7"/>
    <w:rsid w:val="00DE691D"/>
    <w:rsid w:val="00E04908"/>
    <w:rsid w:val="00E06012"/>
    <w:rsid w:val="00E06971"/>
    <w:rsid w:val="00E06F21"/>
    <w:rsid w:val="00E12FE0"/>
    <w:rsid w:val="00E2007C"/>
    <w:rsid w:val="00E20859"/>
    <w:rsid w:val="00E23469"/>
    <w:rsid w:val="00E238DC"/>
    <w:rsid w:val="00E24152"/>
    <w:rsid w:val="00E24CFF"/>
    <w:rsid w:val="00E268C0"/>
    <w:rsid w:val="00E30CBF"/>
    <w:rsid w:val="00E34C0E"/>
    <w:rsid w:val="00E37AAB"/>
    <w:rsid w:val="00E37FC6"/>
    <w:rsid w:val="00E4067D"/>
    <w:rsid w:val="00E420CE"/>
    <w:rsid w:val="00E53A23"/>
    <w:rsid w:val="00E53C21"/>
    <w:rsid w:val="00E54212"/>
    <w:rsid w:val="00E566EE"/>
    <w:rsid w:val="00E621DA"/>
    <w:rsid w:val="00E627E5"/>
    <w:rsid w:val="00E63B19"/>
    <w:rsid w:val="00E66D67"/>
    <w:rsid w:val="00E70B5D"/>
    <w:rsid w:val="00E719D6"/>
    <w:rsid w:val="00E724E5"/>
    <w:rsid w:val="00E72642"/>
    <w:rsid w:val="00E72702"/>
    <w:rsid w:val="00E74DC8"/>
    <w:rsid w:val="00E75596"/>
    <w:rsid w:val="00E75B39"/>
    <w:rsid w:val="00E802E8"/>
    <w:rsid w:val="00E80341"/>
    <w:rsid w:val="00E81815"/>
    <w:rsid w:val="00E826C6"/>
    <w:rsid w:val="00E831D3"/>
    <w:rsid w:val="00E84044"/>
    <w:rsid w:val="00E84729"/>
    <w:rsid w:val="00E914B7"/>
    <w:rsid w:val="00E94B9D"/>
    <w:rsid w:val="00E94D76"/>
    <w:rsid w:val="00EA0400"/>
    <w:rsid w:val="00EA2A01"/>
    <w:rsid w:val="00EA4021"/>
    <w:rsid w:val="00EA7BDC"/>
    <w:rsid w:val="00EB08BB"/>
    <w:rsid w:val="00EC03DE"/>
    <w:rsid w:val="00EC061A"/>
    <w:rsid w:val="00EC1DDE"/>
    <w:rsid w:val="00EC4163"/>
    <w:rsid w:val="00ED0A04"/>
    <w:rsid w:val="00ED127B"/>
    <w:rsid w:val="00ED1786"/>
    <w:rsid w:val="00ED323C"/>
    <w:rsid w:val="00ED3CBF"/>
    <w:rsid w:val="00ED6440"/>
    <w:rsid w:val="00EE60CA"/>
    <w:rsid w:val="00EF2B55"/>
    <w:rsid w:val="00EF4421"/>
    <w:rsid w:val="00EF62EF"/>
    <w:rsid w:val="00EF728B"/>
    <w:rsid w:val="00F001D0"/>
    <w:rsid w:val="00F01162"/>
    <w:rsid w:val="00F04408"/>
    <w:rsid w:val="00F057E2"/>
    <w:rsid w:val="00F05FED"/>
    <w:rsid w:val="00F13586"/>
    <w:rsid w:val="00F14A03"/>
    <w:rsid w:val="00F15181"/>
    <w:rsid w:val="00F16812"/>
    <w:rsid w:val="00F16E3F"/>
    <w:rsid w:val="00F17EAD"/>
    <w:rsid w:val="00F206E1"/>
    <w:rsid w:val="00F20AB3"/>
    <w:rsid w:val="00F20FAD"/>
    <w:rsid w:val="00F214AF"/>
    <w:rsid w:val="00F2188A"/>
    <w:rsid w:val="00F23D85"/>
    <w:rsid w:val="00F25484"/>
    <w:rsid w:val="00F26E0C"/>
    <w:rsid w:val="00F26EFE"/>
    <w:rsid w:val="00F30368"/>
    <w:rsid w:val="00F32556"/>
    <w:rsid w:val="00F32750"/>
    <w:rsid w:val="00F37089"/>
    <w:rsid w:val="00F37311"/>
    <w:rsid w:val="00F373D8"/>
    <w:rsid w:val="00F4307B"/>
    <w:rsid w:val="00F57223"/>
    <w:rsid w:val="00F6350F"/>
    <w:rsid w:val="00F63847"/>
    <w:rsid w:val="00F67326"/>
    <w:rsid w:val="00F727C7"/>
    <w:rsid w:val="00F73CB1"/>
    <w:rsid w:val="00F83418"/>
    <w:rsid w:val="00F857B9"/>
    <w:rsid w:val="00F85C29"/>
    <w:rsid w:val="00F9152B"/>
    <w:rsid w:val="00FB080D"/>
    <w:rsid w:val="00FB1EAD"/>
    <w:rsid w:val="00FB25AA"/>
    <w:rsid w:val="00FB3FB7"/>
    <w:rsid w:val="00FB7EC4"/>
    <w:rsid w:val="00FC042A"/>
    <w:rsid w:val="00FC2494"/>
    <w:rsid w:val="00FC3297"/>
    <w:rsid w:val="00FC33F4"/>
    <w:rsid w:val="00FC3B2D"/>
    <w:rsid w:val="00FC6182"/>
    <w:rsid w:val="00FD4A37"/>
    <w:rsid w:val="00FD55B3"/>
    <w:rsid w:val="00FD57BA"/>
    <w:rsid w:val="00FD71A0"/>
    <w:rsid w:val="00FE01D0"/>
    <w:rsid w:val="00FE33F6"/>
    <w:rsid w:val="00FE66A9"/>
    <w:rsid w:val="00FE6E6D"/>
    <w:rsid w:val="00FE7CD8"/>
    <w:rsid w:val="00FF73A3"/>
    <w:rsid w:val="0C0A812D"/>
    <w:rsid w:val="0CFCC982"/>
    <w:rsid w:val="10A0CB1D"/>
    <w:rsid w:val="2F09BC04"/>
    <w:rsid w:val="2FCF6D18"/>
    <w:rsid w:val="3C9479AD"/>
    <w:rsid w:val="40E93707"/>
    <w:rsid w:val="577C1CDF"/>
    <w:rsid w:val="5E9B14F2"/>
    <w:rsid w:val="7ACE4484"/>
    <w:rsid w:val="7D01A1F9"/>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E29B8"/>
  <w15:docId w15:val="{C779DB0D-136D-4FE9-B5B7-3FAAAA3F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basedOn w:val="Standaard"/>
    <w:uiPriority w:val="1"/>
    <w:rsid w:val="000B7844"/>
  </w:style>
  <w:style w:type="character" w:styleId="Kop1Char" w:customStyle="1">
    <w:name w:val="Kop 1 Char"/>
    <w:link w:val="Kop1"/>
    <w:uiPriority w:val="9"/>
    <w:rsid w:val="009B0C73"/>
    <w:rPr>
      <w:rFonts w:ascii="Verdana" w:hAnsi="Verdana" w:eastAsia="Times New Roman" w:cs="Times New Roman"/>
      <w:b/>
      <w:bCs/>
      <w:spacing w:val="20"/>
      <w:sz w:val="20"/>
      <w:szCs w:val="28"/>
    </w:rPr>
  </w:style>
  <w:style w:type="character" w:styleId="Kop2Char" w:customStyle="1">
    <w:name w:val="Kop 2 Char"/>
    <w:link w:val="Kop2"/>
    <w:uiPriority w:val="9"/>
    <w:rsid w:val="009B0C73"/>
    <w:rPr>
      <w:rFonts w:ascii="Verdana" w:hAnsi="Verdana" w:eastAsia="Times New Roman" w:cs="Times New Roman"/>
      <w:b/>
      <w:bCs/>
      <w:szCs w:val="26"/>
    </w:rPr>
  </w:style>
  <w:style w:type="character" w:styleId="Kop3Char" w:customStyle="1">
    <w:name w:val="Kop 3 Char"/>
    <w:link w:val="Kop3"/>
    <w:uiPriority w:val="9"/>
    <w:rsid w:val="004E5050"/>
    <w:rPr>
      <w:rFonts w:ascii="Verdana" w:hAnsi="Verdana" w:eastAsia="Times New Roman" w:cs="Times New Roman"/>
      <w:b/>
      <w:bCs/>
      <w:sz w:val="28"/>
    </w:rPr>
  </w:style>
  <w:style w:type="character" w:styleId="Hyperlink">
    <w:name w:val="Hyperlink"/>
    <w:uiPriority w:val="99"/>
    <w:unhideWhenUsed/>
    <w:rsid w:val="0048681D"/>
    <w:rPr>
      <w:color w:val="0000FF"/>
      <w:sz w:val="16"/>
      <w:u w:val="single"/>
    </w:rPr>
  </w:style>
  <w:style w:type="character" w:styleId="Kop4Char" w:customStyle="1">
    <w:name w:val="Kop 4 Char"/>
    <w:link w:val="Kop4"/>
    <w:uiPriority w:val="9"/>
    <w:semiHidden/>
    <w:rsid w:val="004E5050"/>
    <w:rPr>
      <w:rFonts w:ascii="Verdana" w:hAnsi="Verdana" w:eastAsia="Times New Roman" w:cs="Times New Roman"/>
      <w:b/>
      <w:bCs/>
      <w:i/>
      <w:iCs/>
      <w:sz w:val="32"/>
    </w:rPr>
  </w:style>
  <w:style w:type="paragraph" w:styleId="Sjabloontabellen" w:customStyle="1">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nhideWhenUsed/>
    <w:rsid w:val="00616293"/>
    <w:pPr>
      <w:spacing w:after="0" w:line="240" w:lineRule="auto"/>
    </w:pPr>
    <w:rPr>
      <w:rFonts w:ascii="Calibri" w:hAnsi="Calibri"/>
      <w:szCs w:val="20"/>
    </w:rPr>
  </w:style>
  <w:style w:type="character" w:styleId="VoetnoottekstChar" w:customStyle="1">
    <w:name w:val="Voetnoottekst Char"/>
    <w:link w:val="Voetnoottekst"/>
    <w:rsid w:val="00616293"/>
    <w:rPr>
      <w:rFonts w:ascii="Calibri" w:hAnsi="Calibri" w:eastAsia="Calibri" w:cs="Times New Roman"/>
      <w:sz w:val="20"/>
      <w:szCs w:val="20"/>
    </w:rPr>
  </w:style>
  <w:style w:type="character" w:styleId="Voetnootmarkering">
    <w:name w:val="footnote reference"/>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styleId="KoptekstChar" w:customStyle="1">
    <w:name w:val="Koptekst Char"/>
    <w:link w:val="Koptekst"/>
    <w:uiPriority w:val="99"/>
    <w:rsid w:val="00015347"/>
    <w:rPr>
      <w:rFonts w:ascii="Verdana" w:hAnsi="Verdana" w:eastAsia="Calibri"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styleId="VoettekstChar" w:customStyle="1">
    <w:name w:val="Voettekst Char"/>
    <w:link w:val="Voettekst"/>
    <w:uiPriority w:val="99"/>
    <w:rsid w:val="00015347"/>
    <w:rPr>
      <w:rFonts w:ascii="Verdana" w:hAnsi="Verdana" w:eastAsia="Calibri"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styleId="EindnoottekstChar" w:customStyle="1">
    <w:name w:val="Eindnoottekst Char"/>
    <w:link w:val="Eindnoottekst"/>
    <w:uiPriority w:val="99"/>
    <w:semiHidden/>
    <w:rsid w:val="000B285B"/>
    <w:rPr>
      <w:rFonts w:ascii="Verdana" w:hAnsi="Verdana" w:eastAsia="Calibri"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styleId="BallontekstChar" w:customStyle="1">
    <w:name w:val="Ballontekst Char"/>
    <w:link w:val="Ballontekst"/>
    <w:uiPriority w:val="99"/>
    <w:semiHidden/>
    <w:rsid w:val="006561F5"/>
    <w:rPr>
      <w:rFonts w:ascii="Tahoma" w:hAnsi="Tahoma" w:eastAsia="Calibri"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styleId="TekstopmerkingChar" w:customStyle="1">
    <w:name w:val="Tekst opmerking Char"/>
    <w:link w:val="Tekstopmerking"/>
    <w:uiPriority w:val="99"/>
    <w:semiHidden/>
    <w:rsid w:val="00185675"/>
    <w:rPr>
      <w:rFonts w:ascii="Verdana" w:hAnsi="Verdana" w:eastAsia="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styleId="OnderwerpvanopmerkingChar" w:customStyle="1">
    <w:name w:val="Onderwerp van opmerking Char"/>
    <w:link w:val="Onderwerpvanopmerking"/>
    <w:uiPriority w:val="99"/>
    <w:semiHidden/>
    <w:rsid w:val="00185675"/>
    <w:rPr>
      <w:rFonts w:ascii="Verdana" w:hAnsi="Verdana" w:eastAsia="Calibri"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styleId="Default" w:customStyle="1">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aliases w:val="Lijstalinea vet"/>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 w:type="paragraph" w:styleId="paragraph" w:customStyle="1">
    <w:name w:val="paragraph"/>
    <w:basedOn w:val="Standaard"/>
    <w:rsid w:val="00B875D9"/>
    <w:pPr>
      <w:spacing w:before="100" w:beforeAutospacing="1" w:after="100" w:afterAutospacing="1" w:line="240" w:lineRule="auto"/>
    </w:pPr>
    <w:rPr>
      <w:rFonts w:ascii="Times New Roman" w:hAnsi="Times New Roman" w:eastAsia="Times New Roman"/>
      <w:sz w:val="24"/>
      <w:szCs w:val="24"/>
      <w:lang w:eastAsia="nl-NL"/>
    </w:rPr>
  </w:style>
  <w:style w:type="character" w:styleId="normaltextrun" w:customStyle="1">
    <w:name w:val="normaltextrun"/>
    <w:basedOn w:val="Standaardalinea-lettertype"/>
    <w:rsid w:val="00B875D9"/>
  </w:style>
  <w:style w:type="character" w:styleId="spellingerror" w:customStyle="1">
    <w:name w:val="spellingerror"/>
    <w:basedOn w:val="Standaardalinea-lettertype"/>
    <w:rsid w:val="00B875D9"/>
  </w:style>
  <w:style w:type="character" w:styleId="eop" w:customStyle="1">
    <w:name w:val="eop"/>
    <w:basedOn w:val="Standaardalinea-lettertype"/>
    <w:rsid w:val="00B875D9"/>
  </w:style>
  <w:style w:type="character" w:styleId="Onopgelostemelding">
    <w:name w:val="Unresolved Mention"/>
    <w:basedOn w:val="Standaardalinea-lettertype"/>
    <w:uiPriority w:val="99"/>
    <w:semiHidden/>
    <w:unhideWhenUsed/>
    <w:rsid w:val="00ED0A04"/>
    <w:rPr>
      <w:color w:val="605E5C"/>
      <w:shd w:val="clear" w:color="auto" w:fill="E1DFDD"/>
    </w:rPr>
  </w:style>
  <w:style w:type="character" w:styleId="GevolgdeHyperlink">
    <w:name w:val="FollowedHyperlink"/>
    <w:basedOn w:val="Standaardalinea-lettertype"/>
    <w:uiPriority w:val="99"/>
    <w:semiHidden/>
    <w:unhideWhenUsed/>
    <w:rsid w:val="005C22E4"/>
    <w:rPr>
      <w:color w:val="800080" w:themeColor="followedHyperlink"/>
      <w:u w:val="single"/>
    </w:rPr>
  </w:style>
  <w:style w:type="paragraph" w:styleId="Normaalweb">
    <w:name w:val="Normal (Web)"/>
    <w:basedOn w:val="Standaard"/>
    <w:uiPriority w:val="99"/>
    <w:semiHidden/>
    <w:unhideWhenUsed/>
    <w:rsid w:val="0013454F"/>
    <w:pPr>
      <w:spacing w:before="100" w:beforeAutospacing="1" w:after="100" w:afterAutospacing="1" w:line="240" w:lineRule="auto"/>
    </w:pPr>
    <w:rPr>
      <w:rFonts w:ascii="Times New Roman" w:hAnsi="Times New Roman" w:eastAsia="Times New Roman"/>
      <w:sz w:val="24"/>
      <w:szCs w:val="24"/>
      <w:lang w:eastAsia="nl-NL"/>
    </w:rPr>
  </w:style>
  <w:style w:type="table" w:styleId="Tabelraster1" w:customStyle="1">
    <w:name w:val="Tabelraster1"/>
    <w:basedOn w:val="Standaardtabel"/>
    <w:next w:val="Tabelraster"/>
    <w:uiPriority w:val="59"/>
    <w:rsid w:val="00D86A66"/>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6" w:customStyle="1">
    <w:name w:val="Tabelraster6"/>
    <w:basedOn w:val="Standaardtabel"/>
    <w:next w:val="Tabelraster"/>
    <w:uiPriority w:val="59"/>
    <w:rsid w:val="002F7C7C"/>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76634849">
      <w:bodyDiv w:val="1"/>
      <w:marLeft w:val="0"/>
      <w:marRight w:val="0"/>
      <w:marTop w:val="0"/>
      <w:marBottom w:val="0"/>
      <w:divBdr>
        <w:top w:val="none" w:sz="0" w:space="0" w:color="auto"/>
        <w:left w:val="none" w:sz="0" w:space="0" w:color="auto"/>
        <w:bottom w:val="none" w:sz="0" w:space="0" w:color="auto"/>
        <w:right w:val="none" w:sz="0" w:space="0" w:color="auto"/>
      </w:divBdr>
    </w:div>
    <w:div w:id="388653418">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1325235102">
      <w:bodyDiv w:val="1"/>
      <w:marLeft w:val="0"/>
      <w:marRight w:val="0"/>
      <w:marTop w:val="0"/>
      <w:marBottom w:val="0"/>
      <w:divBdr>
        <w:top w:val="none" w:sz="0" w:space="0" w:color="auto"/>
        <w:left w:val="none" w:sz="0" w:space="0" w:color="auto"/>
        <w:bottom w:val="none" w:sz="0" w:space="0" w:color="auto"/>
        <w:right w:val="none" w:sz="0" w:space="0" w:color="auto"/>
      </w:divBdr>
      <w:divsChild>
        <w:div w:id="1099175606">
          <w:marLeft w:val="0"/>
          <w:marRight w:val="0"/>
          <w:marTop w:val="0"/>
          <w:marBottom w:val="0"/>
          <w:divBdr>
            <w:top w:val="none" w:sz="0" w:space="0" w:color="auto"/>
            <w:left w:val="none" w:sz="0" w:space="0" w:color="auto"/>
            <w:bottom w:val="none" w:sz="0" w:space="0" w:color="auto"/>
            <w:right w:val="none" w:sz="0" w:space="0" w:color="auto"/>
          </w:divBdr>
        </w:div>
        <w:div w:id="1644774387">
          <w:marLeft w:val="0"/>
          <w:marRight w:val="0"/>
          <w:marTop w:val="0"/>
          <w:marBottom w:val="0"/>
          <w:divBdr>
            <w:top w:val="none" w:sz="0" w:space="0" w:color="auto"/>
            <w:left w:val="none" w:sz="0" w:space="0" w:color="auto"/>
            <w:bottom w:val="none" w:sz="0" w:space="0" w:color="auto"/>
            <w:right w:val="none" w:sz="0" w:space="0" w:color="auto"/>
          </w:divBdr>
        </w:div>
        <w:div w:id="1271934349">
          <w:marLeft w:val="0"/>
          <w:marRight w:val="0"/>
          <w:marTop w:val="0"/>
          <w:marBottom w:val="0"/>
          <w:divBdr>
            <w:top w:val="none" w:sz="0" w:space="0" w:color="auto"/>
            <w:left w:val="none" w:sz="0" w:space="0" w:color="auto"/>
            <w:bottom w:val="none" w:sz="0" w:space="0" w:color="auto"/>
            <w:right w:val="none" w:sz="0" w:space="0" w:color="auto"/>
          </w:divBdr>
        </w:div>
        <w:div w:id="565535254">
          <w:marLeft w:val="0"/>
          <w:marRight w:val="0"/>
          <w:marTop w:val="0"/>
          <w:marBottom w:val="0"/>
          <w:divBdr>
            <w:top w:val="none" w:sz="0" w:space="0" w:color="auto"/>
            <w:left w:val="none" w:sz="0" w:space="0" w:color="auto"/>
            <w:bottom w:val="none" w:sz="0" w:space="0" w:color="auto"/>
            <w:right w:val="none" w:sz="0" w:space="0" w:color="auto"/>
          </w:divBdr>
        </w:div>
        <w:div w:id="414863194">
          <w:marLeft w:val="0"/>
          <w:marRight w:val="0"/>
          <w:marTop w:val="0"/>
          <w:marBottom w:val="0"/>
          <w:divBdr>
            <w:top w:val="none" w:sz="0" w:space="0" w:color="auto"/>
            <w:left w:val="none" w:sz="0" w:space="0" w:color="auto"/>
            <w:bottom w:val="none" w:sz="0" w:space="0" w:color="auto"/>
            <w:right w:val="none" w:sz="0" w:space="0" w:color="auto"/>
          </w:divBdr>
        </w:div>
      </w:divsChild>
    </w:div>
    <w:div w:id="1424573855">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1595625053">
      <w:bodyDiv w:val="1"/>
      <w:marLeft w:val="0"/>
      <w:marRight w:val="0"/>
      <w:marTop w:val="0"/>
      <w:marBottom w:val="0"/>
      <w:divBdr>
        <w:top w:val="none" w:sz="0" w:space="0" w:color="auto"/>
        <w:left w:val="none" w:sz="0" w:space="0" w:color="auto"/>
        <w:bottom w:val="none" w:sz="0" w:space="0" w:color="auto"/>
        <w:right w:val="none" w:sz="0" w:space="0" w:color="auto"/>
      </w:divBdr>
    </w:div>
    <w:div w:id="1750536454">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cc42720c20d6ee15d986d8337987d9a1">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f1c893892aa3dc6a44fda949d616a30c"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7e33942-4e06-4026-92a6-a168b0c5fe57">
      <UserInfo>
        <DisplayName>Martijn Bloembergen</DisplayName>
        <AccountId>19</AccountId>
        <AccountType/>
      </UserInfo>
      <UserInfo>
        <DisplayName>Gerlof Meijer</DisplayName>
        <AccountId>12</AccountId>
        <AccountType/>
      </UserInfo>
    </SharedWithUsers>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14B209-6E60-4D0F-8430-B1B734639108}"/>
</file>

<file path=customXml/itemProps2.xml><?xml version="1.0" encoding="utf-8"?>
<ds:datastoreItem xmlns:ds="http://schemas.openxmlformats.org/officeDocument/2006/customXml" ds:itemID="{919A0292-F585-4297-A6D4-DE56CF41F344}">
  <ds:schemaRefs>
    <ds:schemaRef ds:uri="http://schemas.microsoft.com/sharepoint/v3/contenttype/forms"/>
  </ds:schemaRefs>
</ds:datastoreItem>
</file>

<file path=customXml/itemProps3.xml><?xml version="1.0" encoding="utf-8"?>
<ds:datastoreItem xmlns:ds="http://schemas.openxmlformats.org/officeDocument/2006/customXml" ds:itemID="{CD9B31FF-17BB-47AC-A438-11081898A0AB}">
  <ds:schemaRefs>
    <ds:schemaRef ds:uri="http://schemas.openxmlformats.org/officeDocument/2006/bibliography"/>
  </ds:schemaRefs>
</ds:datastoreItem>
</file>

<file path=customXml/itemProps4.xml><?xml version="1.0" encoding="utf-8"?>
<ds:datastoreItem xmlns:ds="http://schemas.openxmlformats.org/officeDocument/2006/customXml" ds:itemID="{7E67DE93-A01C-4229-9571-87B31721E247}">
  <ds:schemaRefs>
    <ds:schemaRef ds:uri="http://schemas.microsoft.com/office/2006/metadata/properties"/>
    <ds:schemaRef ds:uri="http://schemas.microsoft.com/office/infopath/2007/PartnerControls"/>
    <ds:schemaRef ds:uri="17e33942-4e06-4026-92a6-a168b0c5fe57"/>
    <ds:schemaRef ds:uri="509f31d5-8f1f-4c79-9ee0-113220ebe9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Regionale Brandweer Drenthe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Wobiene Sibma</dc:creator>
  <lastModifiedBy>Gerlof Meijer</lastModifiedBy>
  <revision>11</revision>
  <lastPrinted>2016-02-29T15:45:00.0000000Z</lastPrinted>
  <dcterms:created xsi:type="dcterms:W3CDTF">2026-01-30T07:24:00.0000000Z</dcterms:created>
  <dcterms:modified xsi:type="dcterms:W3CDTF">2026-03-29T20:15:12.3506066Z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Order">
    <vt:r8>100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y fmtid="{D5CDD505-2E9C-101B-9397-08002B2CF9AE}" pid="37" name="_SourceUrl">
    <vt:lpwstr/>
  </property>
  <property fmtid="{D5CDD505-2E9C-101B-9397-08002B2CF9AE}" pid="38" name="_SharedFileIndex">
    <vt:lpwstr/>
  </property>
</Properties>
</file>